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35B93" w14:textId="4D0B5012" w:rsidR="006872EA" w:rsidRDefault="006872EA" w:rsidP="006872EA">
      <w:pPr>
        <w:shd w:val="clear" w:color="auto" w:fill="FFFFFF"/>
        <w:spacing w:before="100" w:beforeAutospacing="1" w:after="120"/>
        <w:rPr>
          <w:rFonts w:ascii="Lato" w:eastAsia="Times New Roman" w:hAnsi="Lato" w:cs="Times New Roman"/>
          <w:color w:val="000000"/>
          <w:sz w:val="24"/>
          <w:szCs w:val="24"/>
          <w:lang w:val="en-AU" w:eastAsia="en-AU"/>
        </w:rPr>
      </w:pPr>
      <w:r>
        <w:rPr>
          <w:noProof/>
        </w:rPr>
        <w:drawing>
          <wp:anchor distT="0" distB="0" distL="114300" distR="114300" simplePos="0" relativeHeight="251664384" behindDoc="0" locked="0" layoutInCell="1" allowOverlap="1" wp14:anchorId="3F96553D" wp14:editId="68060F73">
            <wp:simplePos x="0" y="0"/>
            <wp:positionH relativeFrom="column">
              <wp:posOffset>5441315</wp:posOffset>
            </wp:positionH>
            <wp:positionV relativeFrom="paragraph">
              <wp:posOffset>-658495</wp:posOffset>
            </wp:positionV>
            <wp:extent cx="837565" cy="1097915"/>
            <wp:effectExtent l="0" t="0" r="635" b="6985"/>
            <wp:wrapNone/>
            <wp:docPr id="1472982633" name="Picture 11">
              <a:extLst xmlns:a="http://schemas.openxmlformats.org/drawingml/2006/main">
                <a:ext uri="{FF2B5EF4-FFF2-40B4-BE49-F238E27FC236}">
                  <a16:creationId xmlns:a16="http://schemas.microsoft.com/office/drawing/2014/main" id="{8490F341-4541-8786-F6C1-464DEE8066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8490F341-4541-8786-F6C1-464DEE8066A3}"/>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7565" cy="1097915"/>
                    </a:xfrm>
                    <a:prstGeom prst="rect">
                      <a:avLst/>
                    </a:prstGeom>
                  </pic:spPr>
                </pic:pic>
              </a:graphicData>
            </a:graphic>
            <wp14:sizeRelH relativeFrom="margin">
              <wp14:pctWidth>0</wp14:pctWidth>
            </wp14:sizeRelH>
            <wp14:sizeRelV relativeFrom="margin">
              <wp14:pctHeight>0</wp14:pctHeight>
            </wp14:sizeRelV>
          </wp:anchor>
        </w:drawing>
      </w:r>
      <w:r>
        <w:rPr>
          <w:rFonts w:ascii="Lato" w:eastAsia="Times New Roman" w:hAnsi="Lato" w:cs="Times New Roman"/>
          <w:noProof/>
          <w:color w:val="000000"/>
          <w:sz w:val="24"/>
          <w:szCs w:val="24"/>
          <w:lang w:val="en-AU" w:eastAsia="en-AU"/>
        </w:rPr>
        <w:drawing>
          <wp:anchor distT="0" distB="0" distL="114300" distR="114300" simplePos="0" relativeHeight="251666432" behindDoc="0" locked="0" layoutInCell="1" allowOverlap="1" wp14:anchorId="7C3ED4F0" wp14:editId="1C4FDDC4">
            <wp:simplePos x="0" y="0"/>
            <wp:positionH relativeFrom="column">
              <wp:posOffset>-482600</wp:posOffset>
            </wp:positionH>
            <wp:positionV relativeFrom="paragraph">
              <wp:posOffset>-482600</wp:posOffset>
            </wp:positionV>
            <wp:extent cx="1505585" cy="951230"/>
            <wp:effectExtent l="0" t="0" r="0" b="1270"/>
            <wp:wrapNone/>
            <wp:docPr id="238063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5585" cy="951230"/>
                    </a:xfrm>
                    <a:prstGeom prst="rect">
                      <a:avLst/>
                    </a:prstGeom>
                    <a:noFill/>
                  </pic:spPr>
                </pic:pic>
              </a:graphicData>
            </a:graphic>
          </wp:anchor>
        </w:drawing>
      </w:r>
    </w:p>
    <w:p w14:paraId="55D72F2B" w14:textId="77777777" w:rsidR="006872EA" w:rsidRDefault="006872EA" w:rsidP="006872EA">
      <w:pPr>
        <w:shd w:val="clear" w:color="auto" w:fill="FFFFFF"/>
        <w:spacing w:before="100" w:beforeAutospacing="1" w:after="120"/>
        <w:rPr>
          <w:rFonts w:ascii="Lato" w:eastAsia="Times New Roman" w:hAnsi="Lato" w:cs="Times New Roman"/>
          <w:color w:val="000000"/>
          <w:sz w:val="24"/>
          <w:szCs w:val="24"/>
          <w:lang w:val="en-AU" w:eastAsia="en-AU"/>
        </w:rPr>
      </w:pPr>
    </w:p>
    <w:p w14:paraId="7DE308B8" w14:textId="50B31D70" w:rsidR="006872EA" w:rsidRPr="006872EA" w:rsidRDefault="006872EA" w:rsidP="006872EA">
      <w:pPr>
        <w:shd w:val="clear" w:color="auto" w:fill="FFFFFF"/>
        <w:spacing w:before="100" w:beforeAutospacing="1" w:after="120"/>
        <w:rPr>
          <w:rFonts w:ascii="Lato" w:eastAsia="Times New Roman" w:hAnsi="Lato" w:cs="Times New Roman"/>
          <w:b/>
          <w:bCs/>
          <w:color w:val="000000"/>
          <w:sz w:val="24"/>
          <w:szCs w:val="24"/>
          <w:lang w:val="en-AU" w:eastAsia="en-AU"/>
        </w:rPr>
      </w:pPr>
      <w:proofErr w:type="spellStart"/>
      <w:proofErr w:type="gramStart"/>
      <w:r w:rsidRPr="006872EA">
        <w:rPr>
          <w:rFonts w:ascii="Lato" w:eastAsia="Times New Roman" w:hAnsi="Lato" w:cs="Times New Roman"/>
          <w:b/>
          <w:bCs/>
          <w:color w:val="23325B"/>
          <w:sz w:val="24"/>
          <w:szCs w:val="24"/>
          <w:lang w:val="en-AU" w:eastAsia="en-AU"/>
        </w:rPr>
        <w:t>Msk</w:t>
      </w:r>
      <w:proofErr w:type="spellEnd"/>
      <w:r w:rsidRPr="006872EA">
        <w:rPr>
          <w:rFonts w:ascii="Lato" w:eastAsia="Times New Roman" w:hAnsi="Lato" w:cs="Times New Roman"/>
          <w:b/>
          <w:bCs/>
          <w:color w:val="23325B"/>
          <w:sz w:val="24"/>
          <w:szCs w:val="24"/>
          <w:lang w:val="en-AU" w:eastAsia="en-AU"/>
        </w:rPr>
        <w:t>?...</w:t>
      </w:r>
      <w:proofErr w:type="gramEnd"/>
      <w:r w:rsidRPr="006872EA">
        <w:rPr>
          <w:rFonts w:ascii="Lato" w:eastAsia="Times New Roman" w:hAnsi="Lato" w:cs="Times New Roman"/>
          <w:b/>
          <w:bCs/>
          <w:color w:val="23325B"/>
          <w:sz w:val="24"/>
          <w:szCs w:val="24"/>
          <w:lang w:val="en-AU" w:eastAsia="en-AU"/>
        </w:rPr>
        <w:t xml:space="preserve">Think </w:t>
      </w:r>
      <w:proofErr w:type="spellStart"/>
      <w:r w:rsidRPr="006872EA">
        <w:rPr>
          <w:rFonts w:ascii="Lato" w:eastAsia="Times New Roman" w:hAnsi="Lato" w:cs="Times New Roman"/>
          <w:b/>
          <w:bCs/>
          <w:color w:val="23325B"/>
          <w:sz w:val="24"/>
          <w:szCs w:val="24"/>
          <w:lang w:val="en-AU" w:eastAsia="en-AU"/>
        </w:rPr>
        <w:t>SpA</w:t>
      </w:r>
      <w:proofErr w:type="spellEnd"/>
      <w:r w:rsidRPr="006872EA">
        <w:rPr>
          <w:rFonts w:ascii="Lato" w:eastAsia="Times New Roman" w:hAnsi="Lato" w:cs="Times New Roman"/>
          <w:b/>
          <w:bCs/>
          <w:color w:val="23325B"/>
          <w:sz w:val="24"/>
          <w:szCs w:val="24"/>
          <w:lang w:val="en-AU" w:eastAsia="en-AU"/>
        </w:rPr>
        <w:t>! Recognition and referral of Axial and Peripheral Spondyloarthritis</w:t>
      </w:r>
    </w:p>
    <w:p w14:paraId="6330FF2C" w14:textId="73C8E54C" w:rsidR="006872EA" w:rsidRDefault="006872EA" w:rsidP="00EB057F">
      <w:pPr>
        <w:spacing w:line="276" w:lineRule="auto"/>
        <w:ind w:left="567" w:hanging="567"/>
        <w:rPr>
          <w:b/>
          <w:bCs/>
        </w:rPr>
      </w:pPr>
      <w:r>
        <w:rPr>
          <w:noProof/>
        </w:rPr>
        <w:drawing>
          <wp:anchor distT="0" distB="0" distL="114300" distR="114300" simplePos="0" relativeHeight="251665408" behindDoc="0" locked="0" layoutInCell="1" allowOverlap="1" wp14:anchorId="0BA747BE" wp14:editId="45382F34">
            <wp:simplePos x="0" y="0"/>
            <wp:positionH relativeFrom="column">
              <wp:posOffset>4237990</wp:posOffset>
            </wp:positionH>
            <wp:positionV relativeFrom="paragraph">
              <wp:posOffset>772795</wp:posOffset>
            </wp:positionV>
            <wp:extent cx="948055" cy="711200"/>
            <wp:effectExtent l="4128" t="0" r="8572" b="8573"/>
            <wp:wrapNone/>
            <wp:docPr id="1273479338" name="Picture 2" descr="A person bending over her f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17841" name="Picture 2" descr="A person bending over her fee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948055" cy="711200"/>
                    </a:xfrm>
                    <a:prstGeom prst="rect">
                      <a:avLst/>
                    </a:prstGeom>
                    <a:noFill/>
                    <a:ln>
                      <a:noFill/>
                    </a:ln>
                    <a:effectLst>
                      <a:softEdge rad="50800"/>
                    </a:effectLst>
                  </pic:spPr>
                </pic:pic>
              </a:graphicData>
            </a:graphic>
            <wp14:sizeRelH relativeFrom="margin">
              <wp14:pctWidth>0</wp14:pctWidth>
            </wp14:sizeRelH>
            <wp14:sizeRelV relativeFrom="margin">
              <wp14:pctHeight>0</wp14:pctHeight>
            </wp14:sizeRelV>
          </wp:anchor>
        </w:drawing>
      </w:r>
    </w:p>
    <w:p w14:paraId="25C011AB" w14:textId="7D1183E0" w:rsidR="006872EA" w:rsidRDefault="006872EA" w:rsidP="00EB057F">
      <w:pPr>
        <w:spacing w:line="276" w:lineRule="auto"/>
        <w:ind w:left="567" w:hanging="567"/>
        <w:rPr>
          <w:b/>
          <w:bCs/>
        </w:rPr>
      </w:pPr>
      <w:r>
        <w:rPr>
          <w:noProof/>
        </w:rPr>
        <w:drawing>
          <wp:anchor distT="0" distB="0" distL="114300" distR="114300" simplePos="0" relativeHeight="251662336" behindDoc="0" locked="0" layoutInCell="1" allowOverlap="1" wp14:anchorId="2FFFB5A6" wp14:editId="29D4E947">
            <wp:simplePos x="0" y="0"/>
            <wp:positionH relativeFrom="margin">
              <wp:posOffset>73660</wp:posOffset>
            </wp:positionH>
            <wp:positionV relativeFrom="paragraph">
              <wp:posOffset>3810</wp:posOffset>
            </wp:positionV>
            <wp:extent cx="1177290" cy="1517015"/>
            <wp:effectExtent l="0" t="0" r="3810" b="6985"/>
            <wp:wrapNone/>
            <wp:docPr id="740447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6300"/>
                    <a:stretch>
                      <a:fillRect/>
                    </a:stretch>
                  </pic:blipFill>
                  <pic:spPr bwMode="auto">
                    <a:xfrm flipH="1">
                      <a:off x="0" y="0"/>
                      <a:ext cx="1177290" cy="1517015"/>
                    </a:xfrm>
                    <a:prstGeom prst="rect">
                      <a:avLst/>
                    </a:prstGeom>
                    <a:noFill/>
                    <a:ln>
                      <a:noFill/>
                    </a:ln>
                    <a:effectLst>
                      <a:softEdge rad="381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10E958BC" wp14:editId="0B251CF7">
            <wp:simplePos x="0" y="0"/>
            <wp:positionH relativeFrom="column">
              <wp:posOffset>4711065</wp:posOffset>
            </wp:positionH>
            <wp:positionV relativeFrom="paragraph">
              <wp:posOffset>16510</wp:posOffset>
            </wp:positionV>
            <wp:extent cx="821105" cy="615950"/>
            <wp:effectExtent l="0" t="0" r="0" b="0"/>
            <wp:wrapNone/>
            <wp:docPr id="1144735417" name="Picture 44" descr="A person's hand holding another hand&#10;&#10;Description automatically generated">
              <a:extLst xmlns:a="http://schemas.openxmlformats.org/drawingml/2006/main">
                <a:ext uri="{FF2B5EF4-FFF2-40B4-BE49-F238E27FC236}">
                  <a16:creationId xmlns:a16="http://schemas.microsoft.com/office/drawing/2014/main" id="{C5505B37-6150-DE5E-97BF-14315D97B8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4" descr="A person's hand holding another hand&#10;&#10;Description automatically generated">
                      <a:extLst>
                        <a:ext uri="{FF2B5EF4-FFF2-40B4-BE49-F238E27FC236}">
                          <a16:creationId xmlns:a16="http://schemas.microsoft.com/office/drawing/2014/main" id="{C5505B37-6150-DE5E-97BF-14315D97B89D}"/>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rot="10800000">
                      <a:off x="0" y="0"/>
                      <a:ext cx="821105" cy="615950"/>
                    </a:xfrm>
                    <a:prstGeom prst="rect">
                      <a:avLst/>
                    </a:prstGeom>
                    <a:effectLst>
                      <a:softEdge rad="50800"/>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6599C24" wp14:editId="1A93F9B1">
            <wp:simplePos x="0" y="0"/>
            <wp:positionH relativeFrom="margin">
              <wp:posOffset>2740025</wp:posOffset>
            </wp:positionH>
            <wp:positionV relativeFrom="paragraph">
              <wp:posOffset>61595</wp:posOffset>
            </wp:positionV>
            <wp:extent cx="856615" cy="739775"/>
            <wp:effectExtent l="1270" t="0" r="1905" b="1905"/>
            <wp:wrapNone/>
            <wp:docPr id="9" name="Picture 2" descr="A paper with drawings of people on it&#10;&#10;AI-generated content may be incorrect.">
              <a:extLst xmlns:a="http://schemas.openxmlformats.org/drawingml/2006/main">
                <a:ext uri="{FF2B5EF4-FFF2-40B4-BE49-F238E27FC236}">
                  <a16:creationId xmlns:a16="http://schemas.microsoft.com/office/drawing/2014/main" id="{2477F5F3-C60B-2BF0-EC56-DED9A5F0FC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A paper with drawings of people on it&#10;&#10;AI-generated content may be incorrect.">
                      <a:extLst>
                        <a:ext uri="{FF2B5EF4-FFF2-40B4-BE49-F238E27FC236}">
                          <a16:creationId xmlns:a16="http://schemas.microsoft.com/office/drawing/2014/main" id="{2477F5F3-C60B-2BF0-EC56-DED9A5F0FC20}"/>
                        </a:ext>
                      </a:extLst>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3165"/>
                    <a:stretch/>
                  </pic:blipFill>
                  <pic:spPr bwMode="auto">
                    <a:xfrm rot="5400000">
                      <a:off x="0" y="0"/>
                      <a:ext cx="856615" cy="739775"/>
                    </a:xfrm>
                    <a:prstGeom prst="rect">
                      <a:avLst/>
                    </a:prstGeom>
                    <a:noFill/>
                    <a:ln>
                      <a:noFill/>
                    </a:ln>
                    <a:effectLst>
                      <a:softEdge rad="50800"/>
                    </a:effectLst>
                  </pic:spPr>
                </pic:pic>
              </a:graphicData>
            </a:graphic>
            <wp14:sizeRelH relativeFrom="margin">
              <wp14:pctWidth>0</wp14:pctWidth>
            </wp14:sizeRelH>
            <wp14:sizeRelV relativeFrom="margin">
              <wp14:pctHeight>0</wp14:pctHeight>
            </wp14:sizeRelV>
          </wp:anchor>
        </w:drawing>
      </w:r>
      <w:r w:rsidRPr="001726C5">
        <w:rPr>
          <w:rFonts w:asciiTheme="minorHAnsi" w:hAnsiTheme="minorHAnsi" w:cstheme="minorHAnsi"/>
          <w:b/>
          <w:bCs/>
          <w:sz w:val="22"/>
          <w:szCs w:val="22"/>
        </w:rPr>
        <w:drawing>
          <wp:anchor distT="0" distB="0" distL="114300" distR="114300" simplePos="0" relativeHeight="251661312" behindDoc="0" locked="0" layoutInCell="1" allowOverlap="1" wp14:anchorId="5C35CFD5" wp14:editId="5D89D109">
            <wp:simplePos x="0" y="0"/>
            <wp:positionH relativeFrom="margin">
              <wp:posOffset>3650615</wp:posOffset>
            </wp:positionH>
            <wp:positionV relativeFrom="paragraph">
              <wp:posOffset>74930</wp:posOffset>
            </wp:positionV>
            <wp:extent cx="749300" cy="643890"/>
            <wp:effectExtent l="0" t="0" r="0" b="3810"/>
            <wp:wrapNone/>
            <wp:docPr id="1814753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53184" name=""/>
                    <pic:cNvPicPr/>
                  </pic:nvPicPr>
                  <pic:blipFill rotWithShape="1">
                    <a:blip r:embed="rId13" cstate="print">
                      <a:extLst>
                        <a:ext uri="{28A0092B-C50C-407E-A947-70E740481C1C}">
                          <a14:useLocalDpi xmlns:a14="http://schemas.microsoft.com/office/drawing/2010/main" val="0"/>
                        </a:ext>
                      </a:extLst>
                    </a:blip>
                    <a:srcRect l="18408"/>
                    <a:stretch>
                      <a:fillRect/>
                    </a:stretch>
                  </pic:blipFill>
                  <pic:spPr bwMode="auto">
                    <a:xfrm flipH="1">
                      <a:off x="0" y="0"/>
                      <a:ext cx="749300" cy="643890"/>
                    </a:xfrm>
                    <a:prstGeom prst="rect">
                      <a:avLst/>
                    </a:prstGeom>
                    <a:ln>
                      <a:noFill/>
                    </a:ln>
                    <a:effectLst>
                      <a:softEdge rad="508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E17210" w14:textId="0C6937B7" w:rsidR="006872EA" w:rsidRDefault="006872EA" w:rsidP="00EB057F">
      <w:pPr>
        <w:spacing w:line="276" w:lineRule="auto"/>
        <w:ind w:left="567" w:hanging="567"/>
        <w:rPr>
          <w:b/>
          <w:bCs/>
        </w:rPr>
      </w:pPr>
    </w:p>
    <w:p w14:paraId="6B643B45" w14:textId="77777777" w:rsidR="006872EA" w:rsidRDefault="006872EA" w:rsidP="00EB057F">
      <w:pPr>
        <w:spacing w:line="276" w:lineRule="auto"/>
        <w:ind w:left="567" w:hanging="567"/>
        <w:rPr>
          <w:b/>
          <w:bCs/>
        </w:rPr>
      </w:pPr>
    </w:p>
    <w:p w14:paraId="3B8A072F" w14:textId="77777777" w:rsidR="006872EA" w:rsidRDefault="006872EA" w:rsidP="00EB057F">
      <w:pPr>
        <w:spacing w:line="276" w:lineRule="auto"/>
        <w:ind w:left="567" w:hanging="567"/>
        <w:rPr>
          <w:b/>
          <w:bCs/>
        </w:rPr>
      </w:pPr>
    </w:p>
    <w:p w14:paraId="410C20E0" w14:textId="65285014" w:rsidR="006872EA" w:rsidRDefault="006872EA" w:rsidP="00EB057F">
      <w:pPr>
        <w:spacing w:line="276" w:lineRule="auto"/>
        <w:ind w:left="567" w:hanging="567"/>
        <w:rPr>
          <w:b/>
          <w:bCs/>
        </w:rPr>
      </w:pPr>
      <w:r>
        <w:rPr>
          <w:noProof/>
        </w:rPr>
        <w:drawing>
          <wp:anchor distT="0" distB="0" distL="114300" distR="114300" simplePos="0" relativeHeight="251660288" behindDoc="0" locked="0" layoutInCell="1" allowOverlap="1" wp14:anchorId="6FBF9D34" wp14:editId="30062CE7">
            <wp:simplePos x="0" y="0"/>
            <wp:positionH relativeFrom="column">
              <wp:posOffset>3068320</wp:posOffset>
            </wp:positionH>
            <wp:positionV relativeFrom="paragraph">
              <wp:posOffset>7620</wp:posOffset>
            </wp:positionV>
            <wp:extent cx="1030605" cy="757555"/>
            <wp:effectExtent l="0" t="0" r="0" b="4445"/>
            <wp:wrapNone/>
            <wp:docPr id="10" name="Picture 9">
              <a:extLst xmlns:a="http://schemas.openxmlformats.org/drawingml/2006/main">
                <a:ext uri="{FF2B5EF4-FFF2-40B4-BE49-F238E27FC236}">
                  <a16:creationId xmlns:a16="http://schemas.microsoft.com/office/drawing/2014/main" id="{78E0F849-798A-4EF0-A8C0-07484DE42B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78E0F849-798A-4EF0-A8C0-07484DE42B47}"/>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0605" cy="757555"/>
                    </a:xfrm>
                    <a:prstGeom prst="rect">
                      <a:avLst/>
                    </a:prstGeom>
                    <a:effectLst>
                      <a:softEdge rad="50800"/>
                    </a:effectLst>
                  </pic:spPr>
                </pic:pic>
              </a:graphicData>
            </a:graphic>
            <wp14:sizeRelH relativeFrom="margin">
              <wp14:pctWidth>0</wp14:pctWidth>
            </wp14:sizeRelH>
            <wp14:sizeRelV relativeFrom="margin">
              <wp14:pctHeight>0</wp14:pctHeight>
            </wp14:sizeRelV>
          </wp:anchor>
        </w:drawing>
      </w:r>
    </w:p>
    <w:p w14:paraId="3AD95EFE" w14:textId="77777777" w:rsidR="006872EA" w:rsidRDefault="006872EA" w:rsidP="00EB057F">
      <w:pPr>
        <w:spacing w:line="276" w:lineRule="auto"/>
        <w:ind w:left="567" w:hanging="567"/>
        <w:rPr>
          <w:b/>
          <w:bCs/>
        </w:rPr>
      </w:pPr>
    </w:p>
    <w:p w14:paraId="28F4B68D" w14:textId="77777777" w:rsidR="006872EA" w:rsidRDefault="006872EA" w:rsidP="00EB057F">
      <w:pPr>
        <w:spacing w:line="276" w:lineRule="auto"/>
        <w:ind w:left="567" w:hanging="567"/>
        <w:rPr>
          <w:b/>
          <w:bCs/>
        </w:rPr>
      </w:pPr>
    </w:p>
    <w:p w14:paraId="1B1C6FAA" w14:textId="77777777" w:rsidR="006872EA" w:rsidRDefault="006872EA" w:rsidP="00EB057F">
      <w:pPr>
        <w:spacing w:line="276" w:lineRule="auto"/>
        <w:ind w:left="567" w:hanging="567"/>
        <w:rPr>
          <w:b/>
          <w:bCs/>
        </w:rPr>
      </w:pPr>
    </w:p>
    <w:p w14:paraId="3C1901C3" w14:textId="77777777" w:rsidR="006872EA" w:rsidRDefault="006872EA" w:rsidP="00EB057F">
      <w:pPr>
        <w:spacing w:line="276" w:lineRule="auto"/>
        <w:ind w:left="567" w:hanging="567"/>
        <w:rPr>
          <w:b/>
          <w:bCs/>
        </w:rPr>
      </w:pPr>
    </w:p>
    <w:p w14:paraId="44359772" w14:textId="77777777" w:rsidR="006872EA" w:rsidRDefault="006872EA" w:rsidP="00EB057F">
      <w:pPr>
        <w:spacing w:line="276" w:lineRule="auto"/>
        <w:ind w:left="567" w:hanging="567"/>
        <w:rPr>
          <w:b/>
          <w:bCs/>
        </w:rPr>
      </w:pPr>
    </w:p>
    <w:p w14:paraId="18EF155D" w14:textId="698A1920" w:rsidR="006872EA" w:rsidRPr="006872EA" w:rsidRDefault="006872EA" w:rsidP="006872EA">
      <w:pPr>
        <w:spacing w:before="100" w:beforeAutospacing="1" w:after="100" w:afterAutospacing="1"/>
        <w:rPr>
          <w:rFonts w:asciiTheme="minorHAnsi" w:eastAsia="Times New Roman" w:hAnsiTheme="minorHAnsi" w:cstheme="minorHAnsi"/>
          <w:b/>
          <w:bCs/>
          <w:sz w:val="24"/>
          <w:szCs w:val="24"/>
          <w:lang w:val="en-AU" w:eastAsia="en-AU"/>
        </w:rPr>
      </w:pPr>
      <w:r w:rsidRPr="006872EA">
        <w:rPr>
          <w:rFonts w:asciiTheme="minorHAnsi" w:eastAsia="Times New Roman" w:hAnsiTheme="minorHAnsi" w:cstheme="minorHAnsi"/>
          <w:b/>
          <w:bCs/>
          <w:sz w:val="24"/>
          <w:szCs w:val="24"/>
          <w:lang w:val="en-AU" w:eastAsia="en-AU"/>
        </w:rPr>
        <w:t xml:space="preserve">Are you a musculoskeletal clinician ready to </w:t>
      </w:r>
      <w:r w:rsidRPr="002C29D3">
        <w:rPr>
          <w:rFonts w:asciiTheme="minorHAnsi" w:eastAsia="Times New Roman" w:hAnsiTheme="minorHAnsi" w:cstheme="minorHAnsi"/>
          <w:b/>
          <w:bCs/>
          <w:sz w:val="24"/>
          <w:szCs w:val="24"/>
          <w:lang w:val="en-AU" w:eastAsia="en-AU"/>
        </w:rPr>
        <w:t xml:space="preserve">sharpen </w:t>
      </w:r>
      <w:r w:rsidRPr="006872EA">
        <w:rPr>
          <w:rFonts w:asciiTheme="minorHAnsi" w:eastAsia="Times New Roman" w:hAnsiTheme="minorHAnsi" w:cstheme="minorHAnsi"/>
          <w:b/>
          <w:bCs/>
          <w:sz w:val="24"/>
          <w:szCs w:val="24"/>
          <w:lang w:val="en-AU" w:eastAsia="en-AU"/>
        </w:rPr>
        <w:t>up your diagnostic skills—all in a single day?</w:t>
      </w:r>
    </w:p>
    <w:p w14:paraId="2713465C" w14:textId="3AB4DA93" w:rsidR="006872EA" w:rsidRPr="006872EA" w:rsidRDefault="006872EA" w:rsidP="006872EA">
      <w:pPr>
        <w:spacing w:before="100" w:beforeAutospacing="1" w:after="100" w:afterAutospacing="1"/>
        <w:rPr>
          <w:rFonts w:asciiTheme="minorHAnsi" w:eastAsia="Times New Roman" w:hAnsiTheme="minorHAnsi" w:cstheme="minorHAnsi"/>
          <w:sz w:val="24"/>
          <w:szCs w:val="24"/>
          <w:lang w:val="en-AU" w:eastAsia="en-AU"/>
        </w:rPr>
      </w:pPr>
      <w:r w:rsidRPr="006872EA">
        <w:rPr>
          <w:rFonts w:asciiTheme="minorHAnsi" w:eastAsia="Times New Roman" w:hAnsiTheme="minorHAnsi" w:cstheme="minorHAnsi"/>
          <w:sz w:val="24"/>
          <w:szCs w:val="24"/>
          <w:lang w:val="en-AU" w:eastAsia="en-AU"/>
        </w:rPr>
        <w:t xml:space="preserve">Join our interactive online workshop designed to help you confidently recognise and refer suspected cases of </w:t>
      </w:r>
      <w:r w:rsidR="002C29D3">
        <w:rPr>
          <w:rFonts w:asciiTheme="minorHAnsi" w:eastAsia="Times New Roman" w:hAnsiTheme="minorHAnsi" w:cstheme="minorHAnsi"/>
          <w:sz w:val="24"/>
          <w:szCs w:val="24"/>
          <w:lang w:val="en-AU" w:eastAsia="en-AU"/>
        </w:rPr>
        <w:t>a</w:t>
      </w:r>
      <w:r w:rsidRPr="006872EA">
        <w:rPr>
          <w:rFonts w:asciiTheme="minorHAnsi" w:eastAsia="Times New Roman" w:hAnsiTheme="minorHAnsi" w:cstheme="minorHAnsi"/>
          <w:sz w:val="24"/>
          <w:szCs w:val="24"/>
          <w:lang w:val="en-AU" w:eastAsia="en-AU"/>
        </w:rPr>
        <w:t xml:space="preserve">xial </w:t>
      </w:r>
      <w:r w:rsidR="002C29D3">
        <w:rPr>
          <w:rFonts w:asciiTheme="minorHAnsi" w:eastAsia="Times New Roman" w:hAnsiTheme="minorHAnsi" w:cstheme="minorHAnsi"/>
          <w:sz w:val="24"/>
          <w:szCs w:val="24"/>
          <w:lang w:val="en-AU" w:eastAsia="en-AU"/>
        </w:rPr>
        <w:t>and</w:t>
      </w:r>
      <w:r w:rsidRPr="006872EA">
        <w:rPr>
          <w:rFonts w:asciiTheme="minorHAnsi" w:eastAsia="Times New Roman" w:hAnsiTheme="minorHAnsi" w:cstheme="minorHAnsi"/>
          <w:sz w:val="24"/>
          <w:szCs w:val="24"/>
          <w:lang w:val="en-AU" w:eastAsia="en-AU"/>
        </w:rPr>
        <w:t xml:space="preserve"> </w:t>
      </w:r>
      <w:r w:rsidR="002C29D3">
        <w:rPr>
          <w:rFonts w:asciiTheme="minorHAnsi" w:eastAsia="Times New Roman" w:hAnsiTheme="minorHAnsi" w:cstheme="minorHAnsi"/>
          <w:sz w:val="24"/>
          <w:szCs w:val="24"/>
          <w:lang w:val="en-AU" w:eastAsia="en-AU"/>
        </w:rPr>
        <w:t>p</w:t>
      </w:r>
      <w:r w:rsidR="002C29D3" w:rsidRPr="006872EA">
        <w:rPr>
          <w:rFonts w:asciiTheme="minorHAnsi" w:eastAsia="Times New Roman" w:hAnsiTheme="minorHAnsi" w:cstheme="minorHAnsi"/>
          <w:sz w:val="24"/>
          <w:szCs w:val="24"/>
          <w:lang w:val="en-AU" w:eastAsia="en-AU"/>
        </w:rPr>
        <w:t>eripheral</w:t>
      </w:r>
      <w:r w:rsidRPr="006872EA">
        <w:rPr>
          <w:rFonts w:asciiTheme="minorHAnsi" w:eastAsia="Times New Roman" w:hAnsiTheme="minorHAnsi" w:cstheme="minorHAnsi"/>
          <w:sz w:val="24"/>
          <w:szCs w:val="24"/>
          <w:lang w:val="en-AU" w:eastAsia="en-AU"/>
        </w:rPr>
        <w:t xml:space="preserve"> </w:t>
      </w:r>
      <w:r w:rsidR="002C29D3" w:rsidRPr="006872EA">
        <w:rPr>
          <w:rFonts w:asciiTheme="minorHAnsi" w:eastAsia="Times New Roman" w:hAnsiTheme="minorHAnsi" w:cstheme="minorHAnsi"/>
          <w:sz w:val="24"/>
          <w:szCs w:val="24"/>
          <w:lang w:val="en-AU" w:eastAsia="en-AU"/>
        </w:rPr>
        <w:t>Spondyloarthritis (</w:t>
      </w:r>
      <w:proofErr w:type="spellStart"/>
      <w:r w:rsidR="002C29D3" w:rsidRPr="006872EA">
        <w:rPr>
          <w:rFonts w:asciiTheme="minorHAnsi" w:eastAsia="Times New Roman" w:hAnsiTheme="minorHAnsi" w:cstheme="minorHAnsi"/>
          <w:sz w:val="24"/>
          <w:szCs w:val="24"/>
          <w:lang w:val="en-AU" w:eastAsia="en-AU"/>
        </w:rPr>
        <w:t>SpA</w:t>
      </w:r>
      <w:proofErr w:type="spellEnd"/>
      <w:r w:rsidR="002C29D3" w:rsidRPr="006872EA">
        <w:rPr>
          <w:rFonts w:asciiTheme="minorHAnsi" w:eastAsia="Times New Roman" w:hAnsiTheme="minorHAnsi" w:cstheme="minorHAnsi"/>
          <w:sz w:val="24"/>
          <w:szCs w:val="24"/>
          <w:lang w:val="en-AU" w:eastAsia="en-AU"/>
        </w:rPr>
        <w:t>)</w:t>
      </w:r>
      <w:r w:rsidR="002C29D3">
        <w:rPr>
          <w:rFonts w:asciiTheme="minorHAnsi" w:eastAsia="Times New Roman" w:hAnsiTheme="minorHAnsi" w:cstheme="minorHAnsi"/>
          <w:sz w:val="24"/>
          <w:szCs w:val="24"/>
          <w:lang w:val="en-AU" w:eastAsia="en-AU"/>
        </w:rPr>
        <w:t xml:space="preserve">. The course covers these </w:t>
      </w:r>
      <w:r w:rsidRPr="006872EA">
        <w:rPr>
          <w:rFonts w:asciiTheme="minorHAnsi" w:eastAsia="Times New Roman" w:hAnsiTheme="minorHAnsi" w:cstheme="minorHAnsi"/>
          <w:sz w:val="24"/>
          <w:szCs w:val="24"/>
          <w:lang w:val="en-AU" w:eastAsia="en-AU"/>
        </w:rPr>
        <w:t>commonly unrecognised conditions</w:t>
      </w:r>
      <w:r w:rsidR="002C29D3">
        <w:rPr>
          <w:rFonts w:asciiTheme="minorHAnsi" w:eastAsia="Times New Roman" w:hAnsiTheme="minorHAnsi" w:cstheme="minorHAnsi"/>
          <w:sz w:val="24"/>
          <w:szCs w:val="24"/>
          <w:lang w:val="en-AU" w:eastAsia="en-AU"/>
        </w:rPr>
        <w:t>, including p</w:t>
      </w:r>
      <w:r w:rsidRPr="006872EA">
        <w:rPr>
          <w:rFonts w:asciiTheme="minorHAnsi" w:eastAsia="Times New Roman" w:hAnsiTheme="minorHAnsi" w:cstheme="minorHAnsi"/>
          <w:sz w:val="24"/>
          <w:szCs w:val="24"/>
          <w:lang w:val="en-AU" w:eastAsia="en-AU"/>
        </w:rPr>
        <w:t xml:space="preserve">soriatic </w:t>
      </w:r>
      <w:r w:rsidR="002C29D3">
        <w:rPr>
          <w:rFonts w:asciiTheme="minorHAnsi" w:eastAsia="Times New Roman" w:hAnsiTheme="minorHAnsi" w:cstheme="minorHAnsi"/>
          <w:sz w:val="24"/>
          <w:szCs w:val="24"/>
          <w:lang w:val="en-AU" w:eastAsia="en-AU"/>
        </w:rPr>
        <w:t>a</w:t>
      </w:r>
      <w:r w:rsidRPr="006872EA">
        <w:rPr>
          <w:rFonts w:asciiTheme="minorHAnsi" w:eastAsia="Times New Roman" w:hAnsiTheme="minorHAnsi" w:cstheme="minorHAnsi"/>
          <w:sz w:val="24"/>
          <w:szCs w:val="24"/>
          <w:lang w:val="en-AU" w:eastAsia="en-AU"/>
        </w:rPr>
        <w:t>rthritis (Ps</w:t>
      </w:r>
      <w:r w:rsidRPr="006872EA">
        <w:rPr>
          <w:rFonts w:asciiTheme="minorHAnsi" w:eastAsia="Times New Roman" w:hAnsiTheme="minorHAnsi" w:cstheme="minorHAnsi"/>
          <w:sz w:val="24"/>
          <w:szCs w:val="24"/>
          <w:lang w:val="en-AU" w:eastAsia="en-AU"/>
        </w:rPr>
        <w:t xml:space="preserve">A) and </w:t>
      </w:r>
      <w:proofErr w:type="spellStart"/>
      <w:r w:rsidR="002C29D3">
        <w:rPr>
          <w:rFonts w:asciiTheme="minorHAnsi" w:eastAsia="Times New Roman" w:hAnsiTheme="minorHAnsi" w:cstheme="minorHAnsi"/>
          <w:sz w:val="24"/>
          <w:szCs w:val="24"/>
          <w:lang w:val="en-AU" w:eastAsia="en-AU"/>
        </w:rPr>
        <w:t>e</w:t>
      </w:r>
      <w:r w:rsidRPr="006872EA">
        <w:rPr>
          <w:rFonts w:asciiTheme="minorHAnsi" w:eastAsia="Times New Roman" w:hAnsiTheme="minorHAnsi" w:cstheme="minorHAnsi"/>
          <w:sz w:val="24"/>
          <w:szCs w:val="24"/>
          <w:lang w:val="en-AU" w:eastAsia="en-AU"/>
        </w:rPr>
        <w:t>nteropathic</w:t>
      </w:r>
      <w:proofErr w:type="spellEnd"/>
      <w:r w:rsidRPr="006872EA">
        <w:rPr>
          <w:rFonts w:asciiTheme="minorHAnsi" w:eastAsia="Times New Roman" w:hAnsiTheme="minorHAnsi" w:cstheme="minorHAnsi"/>
          <w:sz w:val="24"/>
          <w:szCs w:val="24"/>
          <w:lang w:val="en-AU" w:eastAsia="en-AU"/>
        </w:rPr>
        <w:t xml:space="preserve"> </w:t>
      </w:r>
      <w:r w:rsidR="002C29D3">
        <w:rPr>
          <w:rFonts w:asciiTheme="minorHAnsi" w:eastAsia="Times New Roman" w:hAnsiTheme="minorHAnsi" w:cstheme="minorHAnsi"/>
          <w:sz w:val="24"/>
          <w:szCs w:val="24"/>
          <w:lang w:val="en-AU" w:eastAsia="en-AU"/>
        </w:rPr>
        <w:t>i</w:t>
      </w:r>
      <w:r w:rsidRPr="006872EA">
        <w:rPr>
          <w:rFonts w:asciiTheme="minorHAnsi" w:eastAsia="Times New Roman" w:hAnsiTheme="minorHAnsi" w:cstheme="minorHAnsi"/>
          <w:sz w:val="24"/>
          <w:szCs w:val="24"/>
          <w:lang w:val="en-AU" w:eastAsia="en-AU"/>
        </w:rPr>
        <w:t xml:space="preserve">nflammatory </w:t>
      </w:r>
      <w:r w:rsidR="002C29D3">
        <w:rPr>
          <w:rFonts w:asciiTheme="minorHAnsi" w:eastAsia="Times New Roman" w:hAnsiTheme="minorHAnsi" w:cstheme="minorHAnsi"/>
          <w:sz w:val="24"/>
          <w:szCs w:val="24"/>
          <w:lang w:val="en-AU" w:eastAsia="en-AU"/>
        </w:rPr>
        <w:t>a</w:t>
      </w:r>
      <w:r w:rsidR="002C29D3" w:rsidRPr="006872EA">
        <w:rPr>
          <w:rFonts w:asciiTheme="minorHAnsi" w:eastAsia="Times New Roman" w:hAnsiTheme="minorHAnsi" w:cstheme="minorHAnsi"/>
          <w:sz w:val="24"/>
          <w:szCs w:val="24"/>
          <w:lang w:val="en-AU" w:eastAsia="en-AU"/>
        </w:rPr>
        <w:t>rthritis</w:t>
      </w:r>
    </w:p>
    <w:p w14:paraId="43B54C1A" w14:textId="77777777" w:rsidR="002C29D3" w:rsidRPr="002C29D3" w:rsidRDefault="002C29D3" w:rsidP="002C29D3">
      <w:pPr>
        <w:spacing w:before="100" w:beforeAutospacing="1" w:after="100" w:afterAutospacing="1"/>
        <w:outlineLvl w:val="2"/>
        <w:rPr>
          <w:rFonts w:asciiTheme="minorHAnsi" w:eastAsia="Times New Roman" w:hAnsiTheme="minorHAnsi" w:cstheme="minorHAnsi"/>
          <w:b/>
          <w:bCs/>
          <w:sz w:val="24"/>
          <w:szCs w:val="24"/>
          <w:lang w:val="en-AU" w:eastAsia="en-AU"/>
        </w:rPr>
      </w:pPr>
      <w:r w:rsidRPr="002C29D3">
        <w:rPr>
          <w:rFonts w:ascii="Segoe UI Emoji" w:eastAsia="Times New Roman" w:hAnsi="Segoe UI Emoji" w:cs="Segoe UI Emoji"/>
          <w:b/>
          <w:bCs/>
          <w:sz w:val="24"/>
          <w:szCs w:val="24"/>
          <w:lang w:val="en-AU" w:eastAsia="en-AU"/>
        </w:rPr>
        <w:t>🔍</w:t>
      </w:r>
      <w:r w:rsidRPr="002C29D3">
        <w:rPr>
          <w:rFonts w:asciiTheme="minorHAnsi" w:eastAsia="Times New Roman" w:hAnsiTheme="minorHAnsi" w:cstheme="minorHAnsi"/>
          <w:b/>
          <w:bCs/>
          <w:sz w:val="24"/>
          <w:szCs w:val="24"/>
          <w:lang w:val="en-AU" w:eastAsia="en-AU"/>
        </w:rPr>
        <w:t xml:space="preserve"> Why This Matters</w:t>
      </w:r>
    </w:p>
    <w:p w14:paraId="1D3557EA" w14:textId="7E34FEE1" w:rsidR="002C29D3" w:rsidRPr="002C29D3" w:rsidRDefault="002C29D3" w:rsidP="002C29D3">
      <w:pPr>
        <w:spacing w:before="100" w:beforeAutospacing="1" w:after="100" w:afterAutospacing="1"/>
        <w:rPr>
          <w:rFonts w:asciiTheme="minorHAnsi" w:eastAsia="Times New Roman" w:hAnsiTheme="minorHAnsi" w:cstheme="minorHAnsi"/>
          <w:sz w:val="24"/>
          <w:szCs w:val="24"/>
          <w:lang w:val="en-AU" w:eastAsia="en-AU"/>
        </w:rPr>
      </w:pPr>
      <w:r w:rsidRPr="002C29D3">
        <w:rPr>
          <w:rFonts w:asciiTheme="minorHAnsi" w:eastAsia="Times New Roman" w:hAnsiTheme="minorHAnsi" w:cstheme="minorHAnsi"/>
          <w:sz w:val="24"/>
          <w:szCs w:val="24"/>
          <w:lang w:val="en-AU" w:eastAsia="en-AU"/>
        </w:rPr>
        <w:t>Spondyloarthritis (</w:t>
      </w:r>
      <w:proofErr w:type="spellStart"/>
      <w:r w:rsidRPr="002C29D3">
        <w:rPr>
          <w:rFonts w:asciiTheme="minorHAnsi" w:eastAsia="Times New Roman" w:hAnsiTheme="minorHAnsi" w:cstheme="minorHAnsi"/>
          <w:sz w:val="24"/>
          <w:szCs w:val="24"/>
          <w:lang w:val="en-AU" w:eastAsia="en-AU"/>
        </w:rPr>
        <w:t>SpA</w:t>
      </w:r>
      <w:proofErr w:type="spellEnd"/>
      <w:r w:rsidRPr="002C29D3">
        <w:rPr>
          <w:rFonts w:asciiTheme="minorHAnsi" w:eastAsia="Times New Roman" w:hAnsiTheme="minorHAnsi" w:cstheme="minorHAnsi"/>
          <w:sz w:val="24"/>
          <w:szCs w:val="24"/>
          <w:lang w:val="en-AU" w:eastAsia="en-AU"/>
        </w:rPr>
        <w:t>) often masquerades as common musculoskeletal issues—leading to diagnostic delays of up to 9 years. Early recognition is critical, and you are the key to unlocking better outcomes.</w:t>
      </w:r>
    </w:p>
    <w:p w14:paraId="227A7703" w14:textId="77777777" w:rsidR="002C29D3" w:rsidRPr="002C29D3" w:rsidRDefault="002C29D3" w:rsidP="002C29D3">
      <w:pPr>
        <w:spacing w:before="100" w:beforeAutospacing="1" w:after="100" w:afterAutospacing="1"/>
        <w:outlineLvl w:val="2"/>
        <w:rPr>
          <w:rFonts w:asciiTheme="minorHAnsi" w:eastAsia="Times New Roman" w:hAnsiTheme="minorHAnsi" w:cstheme="minorHAnsi"/>
          <w:b/>
          <w:bCs/>
          <w:sz w:val="24"/>
          <w:szCs w:val="24"/>
          <w:lang w:val="en-AU" w:eastAsia="en-AU"/>
        </w:rPr>
      </w:pPr>
      <w:r w:rsidRPr="002C29D3">
        <w:rPr>
          <w:rFonts w:ascii="Segoe UI Emoji" w:eastAsia="Times New Roman" w:hAnsi="Segoe UI Emoji" w:cs="Segoe UI Emoji"/>
          <w:b/>
          <w:bCs/>
          <w:sz w:val="24"/>
          <w:szCs w:val="24"/>
          <w:lang w:val="en-AU" w:eastAsia="en-AU"/>
        </w:rPr>
        <w:t>💡</w:t>
      </w:r>
      <w:r w:rsidRPr="002C29D3">
        <w:rPr>
          <w:rFonts w:asciiTheme="minorHAnsi" w:eastAsia="Times New Roman" w:hAnsiTheme="minorHAnsi" w:cstheme="minorHAnsi"/>
          <w:b/>
          <w:bCs/>
          <w:sz w:val="24"/>
          <w:szCs w:val="24"/>
          <w:lang w:val="en-AU" w:eastAsia="en-AU"/>
        </w:rPr>
        <w:t xml:space="preserve"> What You’ll Learn</w:t>
      </w:r>
    </w:p>
    <w:p w14:paraId="4F34811C" w14:textId="184E219D" w:rsidR="002C29D3" w:rsidRPr="002C29D3" w:rsidRDefault="002C29D3" w:rsidP="002C29D3">
      <w:pPr>
        <w:numPr>
          <w:ilvl w:val="0"/>
          <w:numId w:val="4"/>
        </w:numPr>
        <w:spacing w:before="100" w:beforeAutospacing="1" w:after="100" w:afterAutospacing="1"/>
        <w:rPr>
          <w:rFonts w:asciiTheme="minorHAnsi" w:eastAsia="Times New Roman" w:hAnsiTheme="minorHAnsi" w:cstheme="minorHAnsi"/>
          <w:sz w:val="24"/>
          <w:szCs w:val="24"/>
          <w:lang w:val="en-AU" w:eastAsia="en-AU"/>
        </w:rPr>
      </w:pPr>
      <w:r w:rsidRPr="002C29D3">
        <w:rPr>
          <w:rFonts w:asciiTheme="minorHAnsi" w:eastAsia="Times New Roman" w:hAnsiTheme="minorHAnsi" w:cstheme="minorHAnsi"/>
          <w:sz w:val="24"/>
          <w:szCs w:val="24"/>
          <w:lang w:val="en-AU" w:eastAsia="en-AU"/>
        </w:rPr>
        <w:t xml:space="preserve">How to spot </w:t>
      </w:r>
      <w:r>
        <w:rPr>
          <w:rFonts w:asciiTheme="minorHAnsi" w:eastAsia="Times New Roman" w:hAnsiTheme="minorHAnsi" w:cstheme="minorHAnsi"/>
          <w:sz w:val="24"/>
          <w:szCs w:val="24"/>
          <w:lang w:val="en-AU" w:eastAsia="en-AU"/>
        </w:rPr>
        <w:t xml:space="preserve">clinical </w:t>
      </w:r>
      <w:r w:rsidRPr="002C29D3">
        <w:rPr>
          <w:rFonts w:asciiTheme="minorHAnsi" w:eastAsia="Times New Roman" w:hAnsiTheme="minorHAnsi" w:cstheme="minorHAnsi"/>
          <w:sz w:val="24"/>
          <w:szCs w:val="24"/>
          <w:lang w:val="en-AU" w:eastAsia="en-AU"/>
        </w:rPr>
        <w:t xml:space="preserve">flags for </w:t>
      </w:r>
      <w:r w:rsidRPr="002C29D3">
        <w:rPr>
          <w:rFonts w:asciiTheme="minorHAnsi" w:eastAsia="Times New Roman" w:hAnsiTheme="minorHAnsi" w:cstheme="minorHAnsi"/>
          <w:sz w:val="24"/>
          <w:szCs w:val="24"/>
          <w:lang w:val="en-AU" w:eastAsia="en-AU"/>
        </w:rPr>
        <w:t>a</w:t>
      </w:r>
      <w:r w:rsidRPr="002C29D3">
        <w:rPr>
          <w:rFonts w:asciiTheme="minorHAnsi" w:eastAsia="Times New Roman" w:hAnsiTheme="minorHAnsi" w:cstheme="minorHAnsi"/>
          <w:sz w:val="24"/>
          <w:szCs w:val="24"/>
          <w:lang w:val="en-AU" w:eastAsia="en-AU"/>
        </w:rPr>
        <w:t xml:space="preserve">xial </w:t>
      </w:r>
      <w:r w:rsidRPr="002C29D3">
        <w:rPr>
          <w:rFonts w:asciiTheme="minorHAnsi" w:eastAsia="Times New Roman" w:hAnsiTheme="minorHAnsi" w:cstheme="minorHAnsi"/>
          <w:sz w:val="24"/>
          <w:szCs w:val="24"/>
          <w:lang w:val="en-AU" w:eastAsia="en-AU"/>
        </w:rPr>
        <w:t>and p</w:t>
      </w:r>
      <w:r w:rsidRPr="002C29D3">
        <w:rPr>
          <w:rFonts w:asciiTheme="minorHAnsi" w:eastAsia="Times New Roman" w:hAnsiTheme="minorHAnsi" w:cstheme="minorHAnsi"/>
          <w:sz w:val="24"/>
          <w:szCs w:val="24"/>
          <w:lang w:val="en-AU" w:eastAsia="en-AU"/>
        </w:rPr>
        <w:t xml:space="preserve">eripheral </w:t>
      </w:r>
      <w:r w:rsidRPr="002C29D3">
        <w:rPr>
          <w:rFonts w:asciiTheme="minorHAnsi" w:eastAsia="Times New Roman" w:hAnsiTheme="minorHAnsi" w:cstheme="minorHAnsi"/>
          <w:sz w:val="24"/>
          <w:szCs w:val="24"/>
          <w:lang w:val="en-AU" w:eastAsia="en-AU"/>
        </w:rPr>
        <w:t>spondyloarthritis</w:t>
      </w:r>
    </w:p>
    <w:p w14:paraId="2C49F2E7" w14:textId="77777777" w:rsidR="002C29D3" w:rsidRPr="002C29D3" w:rsidRDefault="002C29D3" w:rsidP="002C29D3">
      <w:pPr>
        <w:numPr>
          <w:ilvl w:val="0"/>
          <w:numId w:val="4"/>
        </w:numPr>
        <w:spacing w:before="100" w:beforeAutospacing="1" w:after="100" w:afterAutospacing="1"/>
        <w:rPr>
          <w:rFonts w:asciiTheme="minorHAnsi" w:eastAsia="Times New Roman" w:hAnsiTheme="minorHAnsi" w:cstheme="minorHAnsi"/>
          <w:sz w:val="24"/>
          <w:szCs w:val="24"/>
          <w:lang w:val="en-AU" w:eastAsia="en-AU"/>
        </w:rPr>
      </w:pPr>
      <w:r w:rsidRPr="002C29D3">
        <w:rPr>
          <w:rFonts w:asciiTheme="minorHAnsi" w:eastAsia="Times New Roman" w:hAnsiTheme="minorHAnsi" w:cstheme="minorHAnsi"/>
          <w:sz w:val="24"/>
          <w:szCs w:val="24"/>
          <w:lang w:val="en-AU" w:eastAsia="en-AU"/>
        </w:rPr>
        <w:t>When and how to refer to Rheumatology for timely intervention</w:t>
      </w:r>
    </w:p>
    <w:p w14:paraId="2BF858B1" w14:textId="77777777" w:rsidR="002C29D3" w:rsidRPr="002C29D3" w:rsidRDefault="002C29D3" w:rsidP="002C29D3">
      <w:pPr>
        <w:numPr>
          <w:ilvl w:val="0"/>
          <w:numId w:val="4"/>
        </w:numPr>
        <w:spacing w:before="100" w:beforeAutospacing="1" w:after="100" w:afterAutospacing="1"/>
        <w:rPr>
          <w:rFonts w:asciiTheme="minorHAnsi" w:eastAsia="Times New Roman" w:hAnsiTheme="minorHAnsi" w:cstheme="minorHAnsi"/>
          <w:sz w:val="24"/>
          <w:szCs w:val="24"/>
          <w:lang w:val="en-AU" w:eastAsia="en-AU"/>
        </w:rPr>
      </w:pPr>
      <w:r w:rsidRPr="002C29D3">
        <w:rPr>
          <w:rFonts w:asciiTheme="minorHAnsi" w:eastAsia="Times New Roman" w:hAnsiTheme="minorHAnsi" w:cstheme="minorHAnsi"/>
          <w:sz w:val="24"/>
          <w:szCs w:val="24"/>
          <w:lang w:val="en-AU" w:eastAsia="en-AU"/>
        </w:rPr>
        <w:t>Clinical features that distinguish inflammatory from mechanical pain</w:t>
      </w:r>
    </w:p>
    <w:p w14:paraId="716F50CB" w14:textId="77777777" w:rsidR="002C29D3" w:rsidRPr="002C29D3" w:rsidRDefault="002C29D3" w:rsidP="002C29D3">
      <w:pPr>
        <w:numPr>
          <w:ilvl w:val="0"/>
          <w:numId w:val="4"/>
        </w:numPr>
        <w:spacing w:before="100" w:beforeAutospacing="1" w:after="100" w:afterAutospacing="1"/>
        <w:rPr>
          <w:rFonts w:asciiTheme="minorHAnsi" w:eastAsia="Times New Roman" w:hAnsiTheme="minorHAnsi" w:cstheme="minorHAnsi"/>
          <w:sz w:val="24"/>
          <w:szCs w:val="24"/>
          <w:lang w:val="en-AU" w:eastAsia="en-AU"/>
        </w:rPr>
      </w:pPr>
      <w:r w:rsidRPr="002C29D3">
        <w:rPr>
          <w:rFonts w:asciiTheme="minorHAnsi" w:eastAsia="Times New Roman" w:hAnsiTheme="minorHAnsi" w:cstheme="minorHAnsi"/>
          <w:sz w:val="24"/>
          <w:szCs w:val="24"/>
          <w:lang w:val="en-AU" w:eastAsia="en-AU"/>
        </w:rPr>
        <w:t>The latest insights on imaging, screening, and referral pathways</w:t>
      </w:r>
    </w:p>
    <w:p w14:paraId="25CF8CDA" w14:textId="77777777" w:rsidR="002C29D3" w:rsidRPr="002C29D3" w:rsidRDefault="002C29D3" w:rsidP="002C29D3">
      <w:pPr>
        <w:spacing w:before="60" w:after="40"/>
        <w:outlineLvl w:val="2"/>
        <w:rPr>
          <w:rFonts w:asciiTheme="minorHAnsi" w:eastAsia="Times New Roman" w:hAnsiTheme="minorHAnsi" w:cstheme="minorHAnsi"/>
          <w:b/>
          <w:bCs/>
          <w:sz w:val="24"/>
          <w:szCs w:val="24"/>
          <w:lang w:val="en-AU" w:eastAsia="en-AU"/>
        </w:rPr>
      </w:pPr>
      <w:r w:rsidRPr="002C29D3">
        <w:rPr>
          <w:rFonts w:ascii="Segoe UI Emoji" w:eastAsia="Times New Roman" w:hAnsi="Segoe UI Emoji" w:cs="Segoe UI Emoji"/>
          <w:b/>
          <w:bCs/>
          <w:sz w:val="24"/>
          <w:szCs w:val="24"/>
          <w:lang w:val="en-AU" w:eastAsia="en-AU"/>
        </w:rPr>
        <w:t>🚀</w:t>
      </w:r>
      <w:r w:rsidRPr="002C29D3">
        <w:rPr>
          <w:rFonts w:asciiTheme="minorHAnsi" w:eastAsia="Times New Roman" w:hAnsiTheme="minorHAnsi" w:cstheme="minorHAnsi"/>
          <w:b/>
          <w:bCs/>
          <w:sz w:val="24"/>
          <w:szCs w:val="24"/>
          <w:lang w:val="en-AU" w:eastAsia="en-AU"/>
        </w:rPr>
        <w:t xml:space="preserve"> Outcome</w:t>
      </w:r>
    </w:p>
    <w:p w14:paraId="265B5379" w14:textId="77777777" w:rsidR="002C29D3" w:rsidRPr="002C29D3" w:rsidRDefault="002C29D3" w:rsidP="002C29D3">
      <w:pPr>
        <w:spacing w:before="60" w:after="40"/>
        <w:rPr>
          <w:rFonts w:asciiTheme="minorHAnsi" w:eastAsia="Times New Roman" w:hAnsiTheme="minorHAnsi" w:cstheme="minorHAnsi"/>
          <w:sz w:val="24"/>
          <w:szCs w:val="24"/>
          <w:lang w:val="en-AU" w:eastAsia="en-AU"/>
        </w:rPr>
      </w:pPr>
      <w:r w:rsidRPr="002C29D3">
        <w:rPr>
          <w:rFonts w:asciiTheme="minorHAnsi" w:eastAsia="Times New Roman" w:hAnsiTheme="minorHAnsi" w:cstheme="minorHAnsi"/>
          <w:sz w:val="24"/>
          <w:szCs w:val="24"/>
          <w:lang w:val="en-AU" w:eastAsia="en-AU"/>
        </w:rPr>
        <w:t>Empower your practice with the skills to:</w:t>
      </w:r>
    </w:p>
    <w:p w14:paraId="189E1F5A" w14:textId="77777777" w:rsidR="002C29D3" w:rsidRPr="002C29D3" w:rsidRDefault="002C29D3" w:rsidP="002C29D3">
      <w:pPr>
        <w:numPr>
          <w:ilvl w:val="0"/>
          <w:numId w:val="5"/>
        </w:numPr>
        <w:spacing w:before="60" w:after="40"/>
        <w:rPr>
          <w:rFonts w:asciiTheme="minorHAnsi" w:eastAsia="Times New Roman" w:hAnsiTheme="minorHAnsi" w:cstheme="minorHAnsi"/>
          <w:sz w:val="24"/>
          <w:szCs w:val="24"/>
          <w:lang w:val="en-AU" w:eastAsia="en-AU"/>
        </w:rPr>
      </w:pPr>
      <w:r w:rsidRPr="002C29D3">
        <w:rPr>
          <w:rFonts w:asciiTheme="minorHAnsi" w:eastAsia="Times New Roman" w:hAnsiTheme="minorHAnsi" w:cstheme="minorHAnsi"/>
          <w:sz w:val="24"/>
          <w:szCs w:val="24"/>
          <w:lang w:val="en-AU" w:eastAsia="en-AU"/>
        </w:rPr>
        <w:t>Reduce diagnostic delays</w:t>
      </w:r>
    </w:p>
    <w:p w14:paraId="052583BC" w14:textId="77777777" w:rsidR="002C29D3" w:rsidRPr="002C29D3" w:rsidRDefault="002C29D3" w:rsidP="002C29D3">
      <w:pPr>
        <w:numPr>
          <w:ilvl w:val="0"/>
          <w:numId w:val="5"/>
        </w:numPr>
        <w:spacing w:before="60" w:after="40"/>
        <w:rPr>
          <w:rFonts w:asciiTheme="minorHAnsi" w:eastAsia="Times New Roman" w:hAnsiTheme="minorHAnsi" w:cstheme="minorHAnsi"/>
          <w:sz w:val="24"/>
          <w:szCs w:val="24"/>
          <w:lang w:val="en-AU" w:eastAsia="en-AU"/>
        </w:rPr>
      </w:pPr>
      <w:r w:rsidRPr="002C29D3">
        <w:rPr>
          <w:rFonts w:asciiTheme="minorHAnsi" w:eastAsia="Times New Roman" w:hAnsiTheme="minorHAnsi" w:cstheme="minorHAnsi"/>
          <w:sz w:val="24"/>
          <w:szCs w:val="24"/>
          <w:lang w:val="en-AU" w:eastAsia="en-AU"/>
        </w:rPr>
        <w:t>Improve patient outcomes</w:t>
      </w:r>
    </w:p>
    <w:p w14:paraId="0B3B7414" w14:textId="77777777" w:rsidR="002C29D3" w:rsidRPr="002C29D3" w:rsidRDefault="002C29D3" w:rsidP="002C29D3">
      <w:pPr>
        <w:numPr>
          <w:ilvl w:val="0"/>
          <w:numId w:val="5"/>
        </w:numPr>
        <w:spacing w:before="60" w:after="40"/>
        <w:rPr>
          <w:rFonts w:asciiTheme="minorHAnsi" w:eastAsia="Times New Roman" w:hAnsiTheme="minorHAnsi" w:cstheme="minorHAnsi"/>
          <w:sz w:val="24"/>
          <w:szCs w:val="24"/>
          <w:lang w:val="en-AU" w:eastAsia="en-AU"/>
        </w:rPr>
      </w:pPr>
      <w:r w:rsidRPr="002C29D3">
        <w:rPr>
          <w:rFonts w:asciiTheme="minorHAnsi" w:eastAsia="Times New Roman" w:hAnsiTheme="minorHAnsi" w:cstheme="minorHAnsi"/>
          <w:sz w:val="24"/>
          <w:szCs w:val="24"/>
          <w:lang w:val="en-AU" w:eastAsia="en-AU"/>
        </w:rPr>
        <w:t>Support earlier access to life-changing treatments</w:t>
      </w:r>
    </w:p>
    <w:p w14:paraId="02E0E043" w14:textId="77777777" w:rsidR="002C29D3" w:rsidRPr="002C29D3" w:rsidRDefault="002C29D3" w:rsidP="002C29D3">
      <w:pPr>
        <w:spacing w:before="60" w:after="40"/>
        <w:outlineLvl w:val="2"/>
        <w:rPr>
          <w:rFonts w:asciiTheme="minorHAnsi" w:eastAsia="Times New Roman" w:hAnsiTheme="minorHAnsi" w:cstheme="minorHAnsi"/>
          <w:b/>
          <w:bCs/>
          <w:sz w:val="24"/>
          <w:szCs w:val="24"/>
          <w:lang w:val="en-AU" w:eastAsia="en-AU"/>
        </w:rPr>
      </w:pPr>
      <w:r w:rsidRPr="002C29D3">
        <w:rPr>
          <w:rFonts w:ascii="Segoe UI Emoji" w:eastAsia="Times New Roman" w:hAnsi="Segoe UI Emoji" w:cs="Segoe UI Emoji"/>
          <w:b/>
          <w:bCs/>
          <w:sz w:val="24"/>
          <w:szCs w:val="24"/>
          <w:lang w:val="en-AU" w:eastAsia="en-AU"/>
        </w:rPr>
        <w:t>🗓️</w:t>
      </w:r>
      <w:r w:rsidRPr="002C29D3">
        <w:rPr>
          <w:rFonts w:asciiTheme="minorHAnsi" w:eastAsia="Times New Roman" w:hAnsiTheme="minorHAnsi" w:cstheme="minorHAnsi"/>
          <w:b/>
          <w:bCs/>
          <w:sz w:val="24"/>
          <w:szCs w:val="24"/>
          <w:lang w:val="en-AU" w:eastAsia="en-AU"/>
        </w:rPr>
        <w:t xml:space="preserve"> Don’t Miss Out</w:t>
      </w:r>
    </w:p>
    <w:p w14:paraId="08081846" w14:textId="77777777" w:rsidR="002C29D3" w:rsidRPr="002C29D3" w:rsidRDefault="002C29D3" w:rsidP="002C29D3">
      <w:pPr>
        <w:spacing w:before="60" w:after="40"/>
        <w:rPr>
          <w:rFonts w:asciiTheme="minorHAnsi" w:eastAsia="Times New Roman" w:hAnsiTheme="minorHAnsi" w:cstheme="minorHAnsi"/>
          <w:sz w:val="24"/>
          <w:szCs w:val="24"/>
          <w:lang w:val="en-AU" w:eastAsia="en-AU"/>
        </w:rPr>
      </w:pPr>
      <w:r w:rsidRPr="002C29D3">
        <w:rPr>
          <w:rFonts w:asciiTheme="minorHAnsi" w:eastAsia="Times New Roman" w:hAnsiTheme="minorHAnsi" w:cstheme="minorHAnsi"/>
          <w:sz w:val="24"/>
          <w:szCs w:val="24"/>
          <w:lang w:val="en-AU" w:eastAsia="en-AU"/>
        </w:rPr>
        <w:t>Be part of the movement to close the diagnostic gap and elevate your clinical impact.</w:t>
      </w:r>
    </w:p>
    <w:p w14:paraId="47945DA8" w14:textId="77777777" w:rsidR="006872EA" w:rsidRPr="006872EA" w:rsidRDefault="006872EA" w:rsidP="00EB057F">
      <w:pPr>
        <w:spacing w:line="276" w:lineRule="auto"/>
        <w:ind w:left="567" w:hanging="567"/>
        <w:rPr>
          <w:b/>
          <w:bCs/>
          <w:lang w:val="en-AU"/>
        </w:rPr>
      </w:pPr>
    </w:p>
    <w:p w14:paraId="396AADD1" w14:textId="77777777" w:rsidR="006872EA" w:rsidRDefault="006872EA" w:rsidP="00EB057F">
      <w:pPr>
        <w:spacing w:line="276" w:lineRule="auto"/>
        <w:ind w:left="567" w:hanging="567"/>
        <w:rPr>
          <w:b/>
          <w:bCs/>
        </w:rPr>
      </w:pPr>
    </w:p>
    <w:p w14:paraId="38B7191D" w14:textId="21D9BE6A" w:rsidR="00EB057F" w:rsidRPr="00E7497E" w:rsidRDefault="00EB057F" w:rsidP="00EB057F">
      <w:pPr>
        <w:spacing w:line="276" w:lineRule="auto"/>
        <w:ind w:left="567" w:hanging="567"/>
      </w:pPr>
      <w:r w:rsidRPr="00E7497E">
        <w:rPr>
          <w:b/>
          <w:bCs/>
        </w:rPr>
        <w:t>Targeted health professional education</w:t>
      </w:r>
      <w:r w:rsidRPr="00E7497E">
        <w:t>: for musculoskeletal clinicians assessing and managing people presenting with back pain and peripheral joint and tendon problems:</w:t>
      </w:r>
    </w:p>
    <w:p w14:paraId="634B4918" w14:textId="77777777" w:rsidR="00EB057F" w:rsidRPr="00E7497E" w:rsidRDefault="00EB057F" w:rsidP="00EB057F">
      <w:pPr>
        <w:spacing w:line="276" w:lineRule="auto"/>
        <w:ind w:left="567" w:hanging="567"/>
      </w:pPr>
    </w:p>
    <w:p w14:paraId="5A401C92" w14:textId="6268341B" w:rsidR="00EB057F" w:rsidRPr="00E7497E" w:rsidRDefault="00EB057F" w:rsidP="00EB057F">
      <w:pPr>
        <w:spacing w:line="276" w:lineRule="auto"/>
        <w:ind w:left="567" w:hanging="567"/>
      </w:pPr>
      <w:r w:rsidRPr="00E7497E">
        <w:rPr>
          <w:b/>
          <w:bCs/>
        </w:rPr>
        <w:t>Target participants:</w:t>
      </w:r>
      <w:r w:rsidRPr="00E7497E">
        <w:t xml:space="preserve"> Healthcare Practitioners in primary care: Musculoskeletal Physiotherapists, Osteopaths, General Practitioners</w:t>
      </w:r>
    </w:p>
    <w:p w14:paraId="6894FABB" w14:textId="77777777" w:rsidR="00EB057F" w:rsidRPr="00E7497E" w:rsidRDefault="00EB057F" w:rsidP="00EB057F">
      <w:pPr>
        <w:spacing w:line="276" w:lineRule="auto"/>
        <w:ind w:left="567" w:hanging="567"/>
        <w:rPr>
          <w:b/>
          <w:bCs/>
        </w:rPr>
      </w:pPr>
    </w:p>
    <w:p w14:paraId="3663D524" w14:textId="77777777" w:rsidR="00EB057F" w:rsidRPr="00E7497E" w:rsidRDefault="00EB057F" w:rsidP="00EB057F">
      <w:pPr>
        <w:spacing w:line="276" w:lineRule="auto"/>
        <w:ind w:left="567" w:hanging="567"/>
        <w:rPr>
          <w:b/>
          <w:bCs/>
        </w:rPr>
      </w:pPr>
      <w:r w:rsidRPr="00E7497E">
        <w:rPr>
          <w:b/>
          <w:bCs/>
        </w:rPr>
        <w:t xml:space="preserve">Education workshop series: </w:t>
      </w:r>
    </w:p>
    <w:p w14:paraId="2EF48D90" w14:textId="49CA62C0" w:rsidR="00EB057F" w:rsidRPr="00E7497E" w:rsidRDefault="00EB057F" w:rsidP="00EB057F">
      <w:pPr>
        <w:spacing w:line="276" w:lineRule="auto"/>
        <w:ind w:left="567" w:hanging="567"/>
      </w:pPr>
      <w:r w:rsidRPr="00E7497E">
        <w:t xml:space="preserve">Aim- To raise awareness and develop knowledge and clinical skills in musculoskeletal clinicians on how to recognise and when to refer to </w:t>
      </w:r>
      <w:r w:rsidR="009A5F22" w:rsidRPr="00E7497E">
        <w:t>Rheumatology</w:t>
      </w:r>
      <w:r w:rsidRPr="00E7497E">
        <w:t xml:space="preserve"> for suspected axial spondyloarthritis</w:t>
      </w:r>
      <w:r>
        <w:t xml:space="preserve"> (Axial </w:t>
      </w:r>
      <w:proofErr w:type="spellStart"/>
      <w:r>
        <w:t>SpA</w:t>
      </w:r>
      <w:proofErr w:type="spellEnd"/>
      <w:r>
        <w:t>)</w:t>
      </w:r>
      <w:r w:rsidR="006872EA">
        <w:t xml:space="preserve"> peripheral spondyloarthritis (</w:t>
      </w:r>
      <w:proofErr w:type="spellStart"/>
      <w:r w:rsidR="006872EA">
        <w:t>SpA</w:t>
      </w:r>
      <w:proofErr w:type="spellEnd"/>
      <w:r w:rsidR="006872EA">
        <w:t xml:space="preserve">) and common diseases such as </w:t>
      </w:r>
      <w:r w:rsidRPr="00E7497E">
        <w:t>Psoriatic Arthritis</w:t>
      </w:r>
      <w:r>
        <w:t xml:space="preserve"> (PsA)</w:t>
      </w:r>
    </w:p>
    <w:p w14:paraId="0E208D7D" w14:textId="77777777" w:rsidR="00EB057F" w:rsidRPr="00E7497E" w:rsidRDefault="00EB057F" w:rsidP="00EB057F">
      <w:pPr>
        <w:spacing w:line="276" w:lineRule="auto"/>
        <w:ind w:left="567" w:hanging="567"/>
      </w:pPr>
    </w:p>
    <w:p w14:paraId="11E0B05B" w14:textId="77777777" w:rsidR="00EB057F" w:rsidRPr="00E7497E" w:rsidRDefault="00EB057F" w:rsidP="00EB057F">
      <w:pPr>
        <w:spacing w:after="240" w:line="276" w:lineRule="auto"/>
        <w:rPr>
          <w:rFonts w:cs="Arial"/>
          <w:b/>
          <w:bCs/>
          <w:color w:val="0D161B"/>
          <w:lang w:val="en-GB"/>
        </w:rPr>
      </w:pPr>
      <w:r w:rsidRPr="00E7497E">
        <w:rPr>
          <w:rFonts w:cs="Arial"/>
          <w:b/>
          <w:bCs/>
          <w:color w:val="0D161B"/>
          <w:lang w:val="en-GB"/>
        </w:rPr>
        <w:t>Outcome:</w:t>
      </w:r>
    </w:p>
    <w:p w14:paraId="73DA5285" w14:textId="77777777" w:rsidR="00EB057F" w:rsidRPr="00E7497E" w:rsidRDefault="00EB057F" w:rsidP="00EB057F">
      <w:pPr>
        <w:spacing w:after="240" w:line="276" w:lineRule="auto"/>
        <w:rPr>
          <w:rFonts w:cs="Arial"/>
          <w:color w:val="0D161B"/>
          <w:lang w:val="en-GB"/>
        </w:rPr>
      </w:pPr>
      <w:r w:rsidRPr="00E7497E">
        <w:rPr>
          <w:rFonts w:cs="Arial"/>
          <w:color w:val="0D161B"/>
          <w:lang w:val="en-GB"/>
        </w:rPr>
        <w:t>Improving delays to diagnosis of Axial Spondyloarthritis and Psoriatic Arthritis by improving recognition and referral of suspected axial and peripheral spondyloarthritis by primary care clinicians to support earlier diagnosis, intervention and improved outcomes. </w:t>
      </w:r>
    </w:p>
    <w:p w14:paraId="199CB2C0" w14:textId="77777777" w:rsidR="00EB057F" w:rsidRPr="00E7497E" w:rsidRDefault="00EB057F" w:rsidP="00EB057F">
      <w:pPr>
        <w:spacing w:after="240" w:line="276" w:lineRule="auto"/>
        <w:rPr>
          <w:rFonts w:cs="Arial"/>
          <w:b/>
          <w:bCs/>
          <w:color w:val="0D161B"/>
          <w:lang w:val="en-GB"/>
        </w:rPr>
      </w:pPr>
      <w:r w:rsidRPr="00E7497E">
        <w:rPr>
          <w:rFonts w:cs="Arial"/>
          <w:b/>
          <w:bCs/>
          <w:color w:val="0D161B"/>
          <w:lang w:val="en-GB"/>
        </w:rPr>
        <w:t>Background:</w:t>
      </w:r>
    </w:p>
    <w:p w14:paraId="2B824219" w14:textId="77777777" w:rsidR="00EB057F" w:rsidRPr="00E7497E" w:rsidRDefault="00EB057F" w:rsidP="00EB057F">
      <w:pPr>
        <w:spacing w:after="240" w:line="276" w:lineRule="auto"/>
        <w:rPr>
          <w:rFonts w:cs="Arial"/>
          <w:color w:val="0D161B"/>
          <w:lang w:val="en-GB"/>
        </w:rPr>
      </w:pPr>
      <w:r w:rsidRPr="00E7497E">
        <w:rPr>
          <w:rFonts w:cs="Arial"/>
          <w:color w:val="0D161B"/>
          <w:lang w:val="en-GB"/>
        </w:rPr>
        <w:t>Spondyloarthritis is a group of inflammatory conditions that mimic common musculoskeletal problems.  Delays in diagnosis average up to 8-9 years for many people, despite significant advances in research and imaging</w:t>
      </w:r>
      <w:r w:rsidRPr="00E7497E">
        <w:rPr>
          <w:rFonts w:cs="Arial"/>
          <w:color w:val="0D161B"/>
          <w:vertAlign w:val="superscript"/>
          <w:lang w:val="en-GB"/>
        </w:rPr>
        <w:t>1</w:t>
      </w:r>
      <w:r w:rsidRPr="00E7497E">
        <w:rPr>
          <w:rFonts w:cs="Arial"/>
          <w:color w:val="0D161B"/>
          <w:lang w:val="en-GB"/>
        </w:rPr>
        <w:t xml:space="preserve">, because it is often not recognised in musculoskeletal assessments </w:t>
      </w:r>
      <w:r w:rsidRPr="00E7497E">
        <w:rPr>
          <w:rFonts w:cs="Arial"/>
          <w:color w:val="0D161B"/>
          <w:vertAlign w:val="superscript"/>
          <w:lang w:val="en-GB"/>
        </w:rPr>
        <w:t>2</w:t>
      </w:r>
      <w:r>
        <w:rPr>
          <w:rFonts w:cs="Arial"/>
          <w:color w:val="0D161B"/>
          <w:vertAlign w:val="superscript"/>
          <w:lang w:val="en-GB"/>
        </w:rPr>
        <w:t>,3</w:t>
      </w:r>
      <w:r w:rsidRPr="00E7497E">
        <w:rPr>
          <w:rFonts w:cs="Arial"/>
          <w:color w:val="0D161B"/>
          <w:lang w:val="en-GB"/>
        </w:rPr>
        <w:t>. Screening for suspected spondyloarthritis (SpA) and when to refer onto rheumatology is an essential a core skill in clinical assessments</w:t>
      </w:r>
      <w:r>
        <w:rPr>
          <w:rFonts w:cs="Arial"/>
          <w:color w:val="0D161B"/>
          <w:lang w:val="en-GB"/>
        </w:rPr>
        <w:t xml:space="preserve"> </w:t>
      </w:r>
      <w:r w:rsidRPr="00077E1A">
        <w:rPr>
          <w:rFonts w:cs="Arial"/>
          <w:color w:val="0D161B"/>
          <w:vertAlign w:val="superscript"/>
          <w:lang w:val="en-GB"/>
        </w:rPr>
        <w:t>4,5</w:t>
      </w:r>
      <w:r w:rsidRPr="00E7497E">
        <w:rPr>
          <w:rFonts w:cs="Arial"/>
          <w:color w:val="0D161B"/>
          <w:lang w:val="en-GB"/>
        </w:rPr>
        <w:t>.</w:t>
      </w:r>
    </w:p>
    <w:p w14:paraId="3F2E8476" w14:textId="77777777" w:rsidR="00EB057F" w:rsidRDefault="00EB057F" w:rsidP="00EB057F">
      <w:pPr>
        <w:spacing w:after="240" w:line="276" w:lineRule="auto"/>
        <w:rPr>
          <w:rFonts w:cs="Arial"/>
          <w:color w:val="0D161B"/>
          <w:vertAlign w:val="superscript"/>
          <w:lang w:val="en-GB"/>
        </w:rPr>
      </w:pPr>
      <w:r w:rsidRPr="00E7497E">
        <w:rPr>
          <w:rFonts w:cs="Arial"/>
          <w:color w:val="0D161B"/>
          <w:lang w:val="en-GB"/>
        </w:rPr>
        <w:t>Musculoskeletal clinicians are key to early diagnosis to help reduce the significant immediate and long-term impacts of these inflammatory diseases. Spondyloarthritis can be challenging to recognise and often mistaken as chronic mechanical low back pain or unrelated tendon and joint problems</w:t>
      </w:r>
      <w:r w:rsidRPr="00E7497E">
        <w:rPr>
          <w:rFonts w:cs="Arial"/>
          <w:color w:val="0D161B"/>
          <w:vertAlign w:val="superscript"/>
          <w:lang w:val="en-GB"/>
        </w:rPr>
        <w:t>4,5</w:t>
      </w:r>
      <w:r w:rsidRPr="00E7497E">
        <w:rPr>
          <w:rFonts w:cs="Arial"/>
          <w:color w:val="0D161B"/>
          <w:lang w:val="en-GB"/>
        </w:rPr>
        <w:t>. Research shows that the inflammatory disease links between persistent back pain, peripheral problems and extra-articular inflammatory manifestations are often missed in clinical practice</w:t>
      </w:r>
      <w:r w:rsidRPr="00E7497E">
        <w:rPr>
          <w:rFonts w:cs="Arial"/>
          <w:color w:val="0D161B"/>
          <w:vertAlign w:val="superscript"/>
          <w:lang w:val="en-GB"/>
        </w:rPr>
        <w:t>2</w:t>
      </w:r>
      <w:r w:rsidRPr="00E7497E">
        <w:rPr>
          <w:rFonts w:cs="Arial"/>
          <w:color w:val="0D161B"/>
          <w:lang w:val="en-GB"/>
        </w:rPr>
        <w:t>.  Knowing what features should raise suspicion of spondyloarthritis and when to refer onto rheumatology is an important aspect of musculoskeletal clinical practice, along with a multidisciplinary team approach to management.</w:t>
      </w:r>
      <w:r>
        <w:rPr>
          <w:rFonts w:cs="Arial"/>
          <w:color w:val="0D161B"/>
          <w:lang w:val="en-GB"/>
        </w:rPr>
        <w:t xml:space="preserve"> Research also indicates that musculoskeletal clinicians report a lack confidence and awareness in screening for axial spondyloarthritis</w:t>
      </w:r>
      <w:r>
        <w:rPr>
          <w:rFonts w:cs="Arial"/>
          <w:color w:val="0D161B"/>
          <w:vertAlign w:val="superscript"/>
          <w:lang w:val="en-GB"/>
        </w:rPr>
        <w:t>3, 6</w:t>
      </w:r>
      <w:r>
        <w:rPr>
          <w:rFonts w:cs="Arial"/>
          <w:color w:val="0D161B"/>
          <w:lang w:val="en-GB"/>
        </w:rPr>
        <w:t>, added to by findings of a paucity of literature on axial SpA and PsA occurring in musculoskeletal professional literature</w:t>
      </w:r>
      <w:r>
        <w:rPr>
          <w:rFonts w:cs="Arial"/>
          <w:color w:val="0D161B"/>
          <w:vertAlign w:val="superscript"/>
          <w:lang w:val="en-GB"/>
        </w:rPr>
        <w:t>7.</w:t>
      </w:r>
    </w:p>
    <w:p w14:paraId="769C725D" w14:textId="0F816D92" w:rsidR="00EB057F" w:rsidRPr="00E7497E" w:rsidRDefault="00EB057F" w:rsidP="00EB057F">
      <w:pPr>
        <w:spacing w:after="240" w:line="276" w:lineRule="auto"/>
        <w:rPr>
          <w:rFonts w:cs="Arial"/>
          <w:color w:val="0D161B"/>
          <w:lang w:val="en-GB"/>
        </w:rPr>
      </w:pPr>
      <w:r w:rsidRPr="00E7497E">
        <w:rPr>
          <w:rFonts w:cs="Arial"/>
          <w:color w:val="0D161B"/>
          <w:lang w:val="en-GB"/>
        </w:rPr>
        <w:t>NICE Guidance has developed clinical guidance to support earlier recognition, diagnosis, treatment and other important considerations in people diagnosed with SpA.</w:t>
      </w:r>
      <w:r>
        <w:rPr>
          <w:rFonts w:cs="Arial"/>
          <w:color w:val="0D161B"/>
          <w:lang w:val="en-GB"/>
        </w:rPr>
        <w:t xml:space="preserve"> This is supported by increasing research, national campaigns and the development of increasing resources to support earlier diagnosis</w:t>
      </w:r>
      <w:r w:rsidRPr="00EF6095">
        <w:rPr>
          <w:rFonts w:cs="Arial"/>
          <w:color w:val="0D161B"/>
          <w:vertAlign w:val="superscript"/>
          <w:lang w:val="en-GB"/>
        </w:rPr>
        <w:t>8</w:t>
      </w:r>
      <w:r>
        <w:rPr>
          <w:rFonts w:cs="Arial"/>
          <w:color w:val="0D161B"/>
          <w:vertAlign w:val="superscript"/>
          <w:lang w:val="en-GB"/>
        </w:rPr>
        <w:t>,9</w:t>
      </w:r>
      <w:r>
        <w:rPr>
          <w:rFonts w:cs="Arial"/>
          <w:color w:val="0D161B"/>
          <w:lang w:val="en-GB"/>
        </w:rPr>
        <w:t xml:space="preserve">. </w:t>
      </w:r>
      <w:r w:rsidRPr="00E7497E">
        <w:rPr>
          <w:rFonts w:cs="Arial"/>
          <w:color w:val="0D161B"/>
          <w:lang w:val="en-GB"/>
        </w:rPr>
        <w:t xml:space="preserve"> This </w:t>
      </w:r>
      <w:r w:rsidR="009A5F22">
        <w:rPr>
          <w:rFonts w:cs="Arial"/>
          <w:color w:val="0D161B"/>
          <w:lang w:val="en-GB"/>
        </w:rPr>
        <w:t xml:space="preserve">course </w:t>
      </w:r>
      <w:r w:rsidRPr="00E7497E">
        <w:rPr>
          <w:rFonts w:cs="Arial"/>
          <w:color w:val="0D161B"/>
          <w:lang w:val="en-GB"/>
        </w:rPr>
        <w:t>aims to enable clinicians to develop their clinical knowledge and skills to screen for suspected spondyloarthritis within musculoskeletal assessments and when to refer for Rheumatology assessment</w:t>
      </w:r>
      <w:r>
        <w:rPr>
          <w:rFonts w:cs="Arial"/>
          <w:color w:val="0D161B"/>
          <w:lang w:val="en-GB"/>
        </w:rPr>
        <w:t>, and to raise awareness of the research and resources available to support their clinical practice in screening for these conditions.</w:t>
      </w:r>
    </w:p>
    <w:p w14:paraId="6ADC4F45" w14:textId="77777777" w:rsidR="00EB057F" w:rsidRPr="00E7497E" w:rsidRDefault="00EB057F" w:rsidP="00EB057F">
      <w:pPr>
        <w:spacing w:line="276" w:lineRule="auto"/>
        <w:rPr>
          <w:rFonts w:cs="Arial"/>
          <w:color w:val="0D161B"/>
          <w:lang w:val="en-GB"/>
        </w:rPr>
      </w:pPr>
      <w:r>
        <w:rPr>
          <w:rFonts w:cs="Arial"/>
          <w:color w:val="0D161B"/>
          <w:lang w:val="en-GB"/>
        </w:rPr>
        <w:t>References</w:t>
      </w:r>
    </w:p>
    <w:p w14:paraId="20DA0314" w14:textId="77777777" w:rsidR="00EB057F" w:rsidRDefault="00EB057F" w:rsidP="00EB057F">
      <w:pPr>
        <w:spacing w:before="120" w:after="120" w:line="259" w:lineRule="auto"/>
        <w:rPr>
          <w:rFonts w:asciiTheme="minorHAnsi" w:eastAsia="Calibri" w:hAnsiTheme="minorHAnsi" w:cstheme="minorHAnsi"/>
          <w:sz w:val="22"/>
          <w:szCs w:val="22"/>
          <w:lang w:val="en-GB"/>
        </w:rPr>
      </w:pPr>
      <w:r>
        <w:rPr>
          <w:rFonts w:ascii="Segoe UI" w:hAnsi="Segoe UI" w:cs="Segoe UI"/>
          <w:color w:val="212121"/>
          <w:shd w:val="clear" w:color="auto" w:fill="FFFFFF"/>
        </w:rPr>
        <w:t>1.</w:t>
      </w:r>
      <w:r w:rsidRPr="00077E1A">
        <w:rPr>
          <w:rFonts w:ascii="Segoe UI" w:hAnsi="Segoe UI" w:cs="Segoe UI"/>
          <w:color w:val="212121"/>
          <w:shd w:val="clear" w:color="auto" w:fill="FFFFFF"/>
        </w:rPr>
        <w:t>Gregory WJ, Kaur J, Bamford S, Tahir H. A Survey of Diagnostic Delay in Axial Spondyloarthritis Across Two National Health Service (NHS) Rheumatology Services. Cureus. 2022 Mar 30;14(3</w:t>
      </w:r>
      <w:proofErr w:type="gramStart"/>
      <w:r w:rsidRPr="00077E1A">
        <w:rPr>
          <w:rFonts w:ascii="Segoe UI" w:hAnsi="Segoe UI" w:cs="Segoe UI"/>
          <w:color w:val="212121"/>
          <w:shd w:val="clear" w:color="auto" w:fill="FFFFFF"/>
        </w:rPr>
        <w:t>):e</w:t>
      </w:r>
      <w:proofErr w:type="gramEnd"/>
      <w:r w:rsidRPr="00077E1A">
        <w:rPr>
          <w:rFonts w:ascii="Segoe UI" w:hAnsi="Segoe UI" w:cs="Segoe UI"/>
          <w:color w:val="212121"/>
          <w:shd w:val="clear" w:color="auto" w:fill="FFFFFF"/>
        </w:rPr>
        <w:t xml:space="preserve">23670. </w:t>
      </w:r>
      <w:proofErr w:type="spellStart"/>
      <w:r w:rsidRPr="00077E1A">
        <w:rPr>
          <w:rFonts w:ascii="Segoe UI" w:hAnsi="Segoe UI" w:cs="Segoe UI"/>
          <w:color w:val="212121"/>
          <w:shd w:val="clear" w:color="auto" w:fill="FFFFFF"/>
        </w:rPr>
        <w:t>doi</w:t>
      </w:r>
      <w:proofErr w:type="spellEnd"/>
      <w:r w:rsidRPr="00077E1A">
        <w:rPr>
          <w:rFonts w:ascii="Segoe UI" w:hAnsi="Segoe UI" w:cs="Segoe UI"/>
          <w:color w:val="212121"/>
          <w:shd w:val="clear" w:color="auto" w:fill="FFFFFF"/>
        </w:rPr>
        <w:t>: 10.7759/cureus.23670. PMID: 35510018; PMCID: PMC9060761.</w:t>
      </w:r>
      <w:r w:rsidRPr="00077E1A">
        <w:rPr>
          <w:rFonts w:asciiTheme="minorHAnsi" w:eastAsia="Calibri" w:hAnsiTheme="minorHAnsi" w:cstheme="minorHAnsi"/>
          <w:sz w:val="22"/>
          <w:szCs w:val="22"/>
          <w:lang w:val="en-GB"/>
        </w:rPr>
        <w:t xml:space="preserve"> </w:t>
      </w:r>
    </w:p>
    <w:p w14:paraId="66B4D73A" w14:textId="77777777" w:rsidR="00EB057F" w:rsidRDefault="00EB057F" w:rsidP="00EB057F">
      <w:pPr>
        <w:spacing w:before="120" w:after="120" w:line="259" w:lineRule="auto"/>
        <w:rPr>
          <w:rFonts w:asciiTheme="minorHAnsi" w:eastAsia="Times New Roman" w:hAnsiTheme="minorHAnsi" w:cstheme="minorHAnsi"/>
          <w:color w:val="222222"/>
          <w:sz w:val="22"/>
          <w:szCs w:val="22"/>
          <w:lang w:val="en-GB" w:eastAsia="en-GB"/>
        </w:rPr>
      </w:pPr>
      <w:r>
        <w:rPr>
          <w:rFonts w:asciiTheme="minorHAnsi" w:eastAsia="Calibri" w:hAnsiTheme="minorHAnsi" w:cstheme="minorHAnsi"/>
          <w:sz w:val="22"/>
          <w:szCs w:val="22"/>
          <w:lang w:val="en-GB"/>
        </w:rPr>
        <w:t>2.</w:t>
      </w:r>
      <w:r w:rsidRPr="00077E1A">
        <w:rPr>
          <w:rFonts w:asciiTheme="minorHAnsi" w:eastAsia="Times New Roman" w:hAnsiTheme="minorHAnsi" w:cstheme="minorHAnsi"/>
          <w:color w:val="222222"/>
          <w:sz w:val="22"/>
          <w:szCs w:val="22"/>
          <w:lang w:val="en-GB" w:eastAsia="en-GB"/>
        </w:rPr>
        <w:t xml:space="preserve"> McCrum, C., Kenyon, K., Cleaton, J. and Dudley, T., (2019). An Unrecognised Masquerader: a retrospective review of people presenting to musculoskeletal physiotherapy with undiagnosed spondyloarthritis. </w:t>
      </w:r>
      <w:r w:rsidRPr="00077E1A">
        <w:rPr>
          <w:rFonts w:asciiTheme="minorHAnsi" w:eastAsia="Times New Roman" w:hAnsiTheme="minorHAnsi" w:cstheme="minorHAnsi"/>
          <w:i/>
          <w:iCs/>
          <w:color w:val="222222"/>
          <w:sz w:val="22"/>
          <w:szCs w:val="22"/>
          <w:lang w:val="en-GB" w:eastAsia="en-GB"/>
        </w:rPr>
        <w:t>Physiotherapy</w:t>
      </w:r>
      <w:r w:rsidRPr="00077E1A">
        <w:rPr>
          <w:rFonts w:asciiTheme="minorHAnsi" w:eastAsia="Times New Roman" w:hAnsiTheme="minorHAnsi" w:cstheme="minorHAnsi"/>
          <w:color w:val="222222"/>
          <w:sz w:val="22"/>
          <w:szCs w:val="22"/>
          <w:lang w:val="en-GB" w:eastAsia="en-GB"/>
        </w:rPr>
        <w:t xml:space="preserve">, </w:t>
      </w:r>
      <w:r w:rsidRPr="00077E1A">
        <w:rPr>
          <w:rFonts w:asciiTheme="minorHAnsi" w:eastAsia="Times New Roman" w:hAnsiTheme="minorHAnsi" w:cstheme="minorHAnsi"/>
          <w:i/>
          <w:iCs/>
          <w:color w:val="222222"/>
          <w:sz w:val="22"/>
          <w:szCs w:val="22"/>
          <w:lang w:val="en-GB" w:eastAsia="en-GB"/>
        </w:rPr>
        <w:t>105</w:t>
      </w:r>
      <w:r w:rsidRPr="00077E1A">
        <w:rPr>
          <w:rFonts w:asciiTheme="minorHAnsi" w:eastAsia="Times New Roman" w:hAnsiTheme="minorHAnsi" w:cstheme="minorHAnsi"/>
          <w:color w:val="222222"/>
          <w:sz w:val="22"/>
          <w:szCs w:val="22"/>
          <w:lang w:val="en-GB" w:eastAsia="en-GB"/>
        </w:rPr>
        <w:t xml:space="preserve">, e102-e103. </w:t>
      </w:r>
    </w:p>
    <w:p w14:paraId="42B1B86B" w14:textId="77777777" w:rsidR="00EB057F" w:rsidRPr="00077E1A" w:rsidRDefault="00EB057F" w:rsidP="00EB057F">
      <w:pPr>
        <w:spacing w:before="120" w:after="120" w:line="259" w:lineRule="auto"/>
        <w:rPr>
          <w:rFonts w:asciiTheme="minorHAnsi" w:eastAsia="Calibri" w:hAnsiTheme="minorHAnsi" w:cstheme="minorHAnsi"/>
          <w:sz w:val="22"/>
          <w:szCs w:val="22"/>
          <w:lang w:val="en-GB"/>
        </w:rPr>
      </w:pPr>
      <w:r>
        <w:rPr>
          <w:rFonts w:asciiTheme="minorHAnsi" w:eastAsia="Times New Roman" w:hAnsiTheme="minorHAnsi" w:cstheme="minorHAnsi"/>
          <w:color w:val="222222"/>
          <w:sz w:val="22"/>
          <w:szCs w:val="22"/>
          <w:lang w:val="en-GB" w:eastAsia="en-GB"/>
        </w:rPr>
        <w:t xml:space="preserve">3. </w:t>
      </w:r>
      <w:r w:rsidRPr="00077E1A">
        <w:rPr>
          <w:rFonts w:asciiTheme="minorHAnsi" w:eastAsia="Times New Roman" w:hAnsiTheme="minorHAnsi" w:cstheme="minorHAnsi"/>
          <w:color w:val="222222"/>
          <w:sz w:val="22"/>
          <w:szCs w:val="22"/>
          <w:lang w:val="en-GB" w:eastAsia="en-GB"/>
        </w:rPr>
        <w:t xml:space="preserve">Steen, E. Cairns, M., McCrum, C (2021). Physiotherapist’ awareness, knowledge and confidence in screening and referral of suspected Spondyloarthritis: A survey of UK clinical practice. </w:t>
      </w:r>
      <w:r w:rsidRPr="00077E1A">
        <w:rPr>
          <w:rFonts w:asciiTheme="minorHAnsi" w:eastAsia="Times New Roman" w:hAnsiTheme="minorHAnsi" w:cstheme="minorHAnsi"/>
          <w:i/>
          <w:color w:val="222222"/>
          <w:sz w:val="22"/>
          <w:szCs w:val="22"/>
          <w:lang w:val="en-GB" w:eastAsia="en-GB"/>
        </w:rPr>
        <w:t>Musculoskeletal Care</w:t>
      </w:r>
      <w:r w:rsidRPr="00077E1A">
        <w:rPr>
          <w:rFonts w:asciiTheme="minorHAnsi" w:eastAsia="Times New Roman" w:hAnsiTheme="minorHAnsi" w:cstheme="minorHAnsi"/>
          <w:color w:val="222222"/>
          <w:sz w:val="22"/>
          <w:szCs w:val="22"/>
          <w:lang w:val="en-GB" w:eastAsia="en-GB"/>
        </w:rPr>
        <w:t>, Feb</w:t>
      </w:r>
      <w:r w:rsidRPr="00077E1A">
        <w:rPr>
          <w:rFonts w:asciiTheme="minorHAnsi" w:eastAsia="Calibri" w:hAnsiTheme="minorHAnsi" w:cstheme="minorHAnsi"/>
          <w:sz w:val="22"/>
          <w:szCs w:val="22"/>
          <w:lang w:val="en-GB"/>
        </w:rPr>
        <w:t xml:space="preserve"> </w:t>
      </w:r>
      <w:hyperlink r:id="rId15" w:history="1">
        <w:r w:rsidRPr="00077E1A">
          <w:rPr>
            <w:rFonts w:asciiTheme="minorHAnsi" w:eastAsia="Calibri" w:hAnsiTheme="minorHAnsi" w:cstheme="minorHAnsi"/>
            <w:bCs/>
            <w:color w:val="005274"/>
            <w:sz w:val="22"/>
            <w:szCs w:val="22"/>
            <w:shd w:val="clear" w:color="auto" w:fill="FFFFFF"/>
            <w:lang w:val="en-GB"/>
          </w:rPr>
          <w:t>https://doi.org/10.1002/msc.1537</w:t>
        </w:r>
      </w:hyperlink>
    </w:p>
    <w:p w14:paraId="36FCAD60" w14:textId="77777777" w:rsidR="00EB057F" w:rsidRDefault="00EB057F" w:rsidP="00EB057F">
      <w:pPr>
        <w:spacing w:before="120" w:after="120" w:line="259" w:lineRule="auto"/>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4.</w:t>
      </w:r>
      <w:r w:rsidRPr="00077E1A">
        <w:rPr>
          <w:rFonts w:asciiTheme="minorHAnsi" w:eastAsia="Calibri" w:hAnsiTheme="minorHAnsi" w:cstheme="minorHAnsi"/>
          <w:sz w:val="22"/>
          <w:szCs w:val="22"/>
          <w:lang w:val="en-GB"/>
        </w:rPr>
        <w:t xml:space="preserve">McCrum C (2019) Appraisal of Clinical Practice Guideline: NICE Guidance on Spondyloarthritis in over 16s: diagnosis and management [NG65], </w:t>
      </w:r>
      <w:r w:rsidRPr="00077E1A">
        <w:rPr>
          <w:rFonts w:asciiTheme="minorHAnsi" w:eastAsia="Calibri" w:hAnsiTheme="minorHAnsi" w:cstheme="minorHAnsi"/>
          <w:i/>
          <w:sz w:val="22"/>
          <w:szCs w:val="22"/>
          <w:lang w:val="en-GB"/>
        </w:rPr>
        <w:t>Journal of Physiotherapy,</w:t>
      </w:r>
      <w:r w:rsidRPr="00077E1A">
        <w:rPr>
          <w:rFonts w:asciiTheme="minorHAnsi" w:eastAsia="Calibri" w:hAnsiTheme="minorHAnsi" w:cstheme="minorHAnsi"/>
          <w:sz w:val="22"/>
          <w:szCs w:val="22"/>
          <w:lang w:val="en-GB"/>
        </w:rPr>
        <w:t xml:space="preserve"> 65, 4, 242. doi.org/10.1016/j.jphys.2019.07.001</w:t>
      </w:r>
    </w:p>
    <w:p w14:paraId="169400D0" w14:textId="77777777" w:rsidR="00EB057F" w:rsidRPr="00077E1A" w:rsidRDefault="00EB057F" w:rsidP="00EB057F">
      <w:pPr>
        <w:spacing w:before="120" w:after="120" w:line="259" w:lineRule="auto"/>
        <w:rPr>
          <w:rFonts w:asciiTheme="minorHAnsi" w:eastAsia="Calibri" w:hAnsiTheme="minorHAnsi" w:cstheme="minorHAnsi"/>
          <w:color w:val="323E4F" w:themeColor="text2" w:themeShade="BF"/>
          <w:sz w:val="22"/>
          <w:szCs w:val="22"/>
          <w:u w:val="single"/>
          <w:lang w:val="en-GB"/>
        </w:rPr>
      </w:pPr>
      <w:r>
        <w:rPr>
          <w:rFonts w:asciiTheme="minorHAnsi" w:eastAsia="Calibri" w:hAnsiTheme="minorHAnsi" w:cstheme="minorHAnsi"/>
          <w:sz w:val="22"/>
          <w:szCs w:val="22"/>
          <w:lang w:val="en-GB"/>
        </w:rPr>
        <w:t>5.</w:t>
      </w:r>
      <w:r w:rsidRPr="00077E1A">
        <w:rPr>
          <w:rFonts w:asciiTheme="minorHAnsi" w:eastAsia="Calibri" w:hAnsiTheme="minorHAnsi" w:cstheme="minorHAnsi"/>
          <w:sz w:val="22"/>
          <w:szCs w:val="22"/>
          <w:lang w:val="en-GB"/>
        </w:rPr>
        <w:t xml:space="preserve">McCrum (2019) Guest Editorial -When to suspect spondyloarthritis: A core skill in musculoskeletal clinical practice. </w:t>
      </w:r>
      <w:r w:rsidRPr="00077E1A">
        <w:rPr>
          <w:rFonts w:asciiTheme="minorHAnsi" w:eastAsia="Calibri" w:hAnsiTheme="minorHAnsi" w:cstheme="minorHAnsi"/>
          <w:i/>
          <w:sz w:val="22"/>
          <w:szCs w:val="22"/>
          <w:lang w:val="en-GB"/>
        </w:rPr>
        <w:t>Musculoskeletal Science and Practice</w:t>
      </w:r>
      <w:r w:rsidRPr="00077E1A">
        <w:rPr>
          <w:rFonts w:asciiTheme="minorHAnsi" w:eastAsia="Calibri" w:hAnsiTheme="minorHAnsi" w:cstheme="minorHAnsi"/>
          <w:sz w:val="22"/>
          <w:szCs w:val="22"/>
          <w:lang w:val="en-GB"/>
        </w:rPr>
        <w:t>, 41, iii.</w:t>
      </w:r>
      <w:r w:rsidRPr="00077E1A">
        <w:rPr>
          <w:rFonts w:asciiTheme="minorHAnsi" w:eastAsia="Calibri" w:hAnsiTheme="minorHAnsi" w:cstheme="minorHAnsi"/>
          <w:color w:val="323E4F" w:themeColor="text2" w:themeShade="BF"/>
          <w:sz w:val="22"/>
          <w:szCs w:val="22"/>
          <w:lang w:val="en-GB"/>
        </w:rPr>
        <w:t xml:space="preserve"> </w:t>
      </w:r>
      <w:hyperlink r:id="rId16" w:tgtFrame="_blank" w:tooltip="Persistent link using digital object identifier" w:history="1">
        <w:r w:rsidRPr="00077E1A">
          <w:rPr>
            <w:rFonts w:asciiTheme="minorHAnsi" w:eastAsia="Calibri" w:hAnsiTheme="minorHAnsi" w:cstheme="minorHAnsi"/>
            <w:color w:val="323E4F" w:themeColor="text2" w:themeShade="BF"/>
            <w:sz w:val="22"/>
            <w:szCs w:val="22"/>
            <w:u w:val="single"/>
            <w:lang w:val="en-GB"/>
          </w:rPr>
          <w:t>https://doi.org/10.1016/j.msksp.2019.102079</w:t>
        </w:r>
      </w:hyperlink>
    </w:p>
    <w:p w14:paraId="46EFE33C" w14:textId="77777777" w:rsidR="00EB057F" w:rsidRDefault="00EB057F" w:rsidP="00EB057F">
      <w:pPr>
        <w:spacing w:after="120"/>
        <w:rPr>
          <w:rFonts w:asciiTheme="minorHAnsi" w:eastAsia="Times New Roman" w:hAnsiTheme="minorHAnsi" w:cstheme="minorHAnsi"/>
          <w:color w:val="222222"/>
          <w:sz w:val="22"/>
          <w:szCs w:val="22"/>
          <w:lang w:val="en-GB" w:eastAsia="en-GB"/>
        </w:rPr>
      </w:pPr>
      <w:r>
        <w:rPr>
          <w:rFonts w:asciiTheme="minorHAnsi" w:eastAsia="Times New Roman" w:hAnsiTheme="minorHAnsi" w:cstheme="minorHAnsi"/>
          <w:color w:val="222222"/>
          <w:sz w:val="22"/>
          <w:szCs w:val="22"/>
          <w:lang w:val="en-GB" w:eastAsia="en-GB"/>
        </w:rPr>
        <w:t xml:space="preserve">6. </w:t>
      </w:r>
      <w:r>
        <w:rPr>
          <w:rFonts w:ascii="Segoe UI" w:hAnsi="Segoe UI" w:cs="Segoe UI"/>
          <w:color w:val="212121"/>
          <w:shd w:val="clear" w:color="auto" w:fill="FFFFFF"/>
        </w:rPr>
        <w:t xml:space="preserve">Yong CY, Hamilton J, </w:t>
      </w:r>
      <w:proofErr w:type="spellStart"/>
      <w:r>
        <w:rPr>
          <w:rFonts w:ascii="Segoe UI" w:hAnsi="Segoe UI" w:cs="Segoe UI"/>
          <w:color w:val="212121"/>
          <w:shd w:val="clear" w:color="auto" w:fill="FFFFFF"/>
        </w:rPr>
        <w:t>Benepal</w:t>
      </w:r>
      <w:proofErr w:type="spellEnd"/>
      <w:r>
        <w:rPr>
          <w:rFonts w:ascii="Segoe UI" w:hAnsi="Segoe UI" w:cs="Segoe UI"/>
          <w:color w:val="212121"/>
          <w:shd w:val="clear" w:color="auto" w:fill="FFFFFF"/>
        </w:rPr>
        <w:t xml:space="preserve"> J, Griffiths K, Clark ZE, Rush A, Sengupta R, Martindale J, Gaffney K. Awareness of axial spondyloarthritis among chiropractors and osteopaths: findings from a UK Web-based survey. </w:t>
      </w:r>
      <w:proofErr w:type="spellStart"/>
      <w:r>
        <w:rPr>
          <w:rFonts w:ascii="Segoe UI" w:hAnsi="Segoe UI" w:cs="Segoe UI"/>
          <w:color w:val="212121"/>
          <w:shd w:val="clear" w:color="auto" w:fill="FFFFFF"/>
        </w:rPr>
        <w:t>Rheumatol</w:t>
      </w:r>
      <w:proofErr w:type="spellEnd"/>
      <w:r>
        <w:rPr>
          <w:rFonts w:ascii="Segoe UI" w:hAnsi="Segoe UI" w:cs="Segoe UI"/>
          <w:color w:val="212121"/>
          <w:shd w:val="clear" w:color="auto" w:fill="FFFFFF"/>
        </w:rPr>
        <w:t xml:space="preserve"> Adv </w:t>
      </w:r>
      <w:proofErr w:type="spellStart"/>
      <w:r>
        <w:rPr>
          <w:rFonts w:ascii="Segoe UI" w:hAnsi="Segoe UI" w:cs="Segoe UI"/>
          <w:color w:val="212121"/>
          <w:shd w:val="clear" w:color="auto" w:fill="FFFFFF"/>
        </w:rPr>
        <w:t>Pract</w:t>
      </w:r>
      <w:proofErr w:type="spellEnd"/>
      <w:r>
        <w:rPr>
          <w:rFonts w:ascii="Segoe UI" w:hAnsi="Segoe UI" w:cs="Segoe UI"/>
          <w:color w:val="212121"/>
          <w:shd w:val="clear" w:color="auto" w:fill="FFFFFF"/>
        </w:rPr>
        <w:t>. 2019 Sep 30;3(2</w:t>
      </w:r>
      <w:proofErr w:type="gramStart"/>
      <w:r>
        <w:rPr>
          <w:rFonts w:ascii="Segoe UI" w:hAnsi="Segoe UI" w:cs="Segoe UI"/>
          <w:color w:val="212121"/>
          <w:shd w:val="clear" w:color="auto" w:fill="FFFFFF"/>
        </w:rPr>
        <w:t>):rkz</w:t>
      </w:r>
      <w:proofErr w:type="gramEnd"/>
      <w:r>
        <w:rPr>
          <w:rFonts w:ascii="Segoe UI" w:hAnsi="Segoe UI" w:cs="Segoe UI"/>
          <w:color w:val="212121"/>
          <w:shd w:val="clear" w:color="auto" w:fill="FFFFFF"/>
        </w:rPr>
        <w:t xml:space="preserve">034.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10.1093/rap/rkz034. PMID: 31616854; PMCID: PMC6785804.</w:t>
      </w:r>
      <w:r w:rsidRPr="00077E1A">
        <w:rPr>
          <w:rFonts w:asciiTheme="minorHAnsi" w:eastAsia="Times New Roman" w:hAnsiTheme="minorHAnsi" w:cstheme="minorHAnsi"/>
          <w:color w:val="222222"/>
          <w:sz w:val="22"/>
          <w:szCs w:val="22"/>
          <w:lang w:val="en-GB" w:eastAsia="en-GB"/>
        </w:rPr>
        <w:t xml:space="preserve"> </w:t>
      </w:r>
    </w:p>
    <w:p w14:paraId="7BED4D0F" w14:textId="77777777" w:rsidR="00EB057F" w:rsidRPr="00077E1A" w:rsidRDefault="00EB057F" w:rsidP="00EB057F">
      <w:pPr>
        <w:spacing w:after="120"/>
        <w:rPr>
          <w:rFonts w:asciiTheme="minorHAnsi" w:eastAsia="Times New Roman" w:hAnsiTheme="minorHAnsi" w:cstheme="minorHAnsi"/>
          <w:color w:val="222222"/>
          <w:sz w:val="22"/>
          <w:szCs w:val="22"/>
          <w:lang w:val="en-GB" w:eastAsia="en-GB"/>
        </w:rPr>
      </w:pPr>
      <w:r>
        <w:rPr>
          <w:rFonts w:asciiTheme="minorHAnsi" w:eastAsia="Times New Roman" w:hAnsiTheme="minorHAnsi" w:cstheme="minorHAnsi"/>
          <w:color w:val="222222"/>
          <w:sz w:val="22"/>
          <w:szCs w:val="22"/>
          <w:lang w:val="en-GB" w:eastAsia="en-GB"/>
        </w:rPr>
        <w:t xml:space="preserve">7. </w:t>
      </w:r>
      <w:r w:rsidRPr="00077E1A">
        <w:rPr>
          <w:rFonts w:asciiTheme="minorHAnsi" w:eastAsia="Times New Roman" w:hAnsiTheme="minorHAnsi" w:cstheme="minorHAnsi"/>
          <w:color w:val="222222"/>
          <w:sz w:val="22"/>
          <w:szCs w:val="22"/>
          <w:lang w:val="en-GB" w:eastAsia="en-GB"/>
        </w:rPr>
        <w:t xml:space="preserve">McCrum, C. 2020. Delaying Diagnosis: inflammatory back pain and other features of suspected spondyloarthritis have been rarely featured in musculoskeletal health professions literature, </w:t>
      </w:r>
      <w:r w:rsidRPr="00077E1A">
        <w:rPr>
          <w:rFonts w:asciiTheme="minorHAnsi" w:eastAsia="Times New Roman" w:hAnsiTheme="minorHAnsi" w:cstheme="minorHAnsi"/>
          <w:i/>
          <w:color w:val="222222"/>
          <w:sz w:val="22"/>
          <w:szCs w:val="22"/>
          <w:lang w:val="en-GB" w:eastAsia="en-GB"/>
        </w:rPr>
        <w:t>British Society of Rheumatology</w:t>
      </w:r>
      <w:r w:rsidRPr="00077E1A">
        <w:rPr>
          <w:rFonts w:asciiTheme="minorHAnsi" w:eastAsia="Times New Roman" w:hAnsiTheme="minorHAnsi" w:cstheme="minorHAnsi"/>
          <w:color w:val="222222"/>
          <w:sz w:val="22"/>
          <w:szCs w:val="22"/>
          <w:lang w:val="en-GB" w:eastAsia="en-GB"/>
        </w:rPr>
        <w:t>, 22 April. Supp_2</w:t>
      </w:r>
    </w:p>
    <w:p w14:paraId="59B2379A" w14:textId="77777777" w:rsidR="00EB057F" w:rsidRDefault="00EB057F" w:rsidP="00EB057F">
      <w:pPr>
        <w:spacing w:before="120" w:after="120" w:line="259" w:lineRule="auto"/>
        <w:rPr>
          <w:rFonts w:asciiTheme="minorHAnsi" w:eastAsia="Calibri" w:hAnsiTheme="minorHAnsi" w:cstheme="minorHAnsi"/>
          <w:sz w:val="22"/>
          <w:szCs w:val="22"/>
          <w:lang w:val="en-GB"/>
        </w:rPr>
      </w:pPr>
      <w:r>
        <w:rPr>
          <w:rFonts w:asciiTheme="minorHAnsi" w:eastAsia="Calibri" w:hAnsiTheme="minorHAnsi" w:cstheme="minorHAnsi"/>
          <w:sz w:val="22"/>
          <w:szCs w:val="22"/>
          <w:shd w:val="clear" w:color="auto" w:fill="FFFFFF"/>
          <w:lang w:val="en-GB"/>
        </w:rPr>
        <w:t>8.</w:t>
      </w:r>
      <w:r w:rsidRPr="00C34D4B">
        <w:rPr>
          <w:rFonts w:asciiTheme="minorHAnsi" w:eastAsia="Calibri" w:hAnsiTheme="minorHAnsi" w:cstheme="minorHAnsi"/>
          <w:sz w:val="22"/>
          <w:szCs w:val="22"/>
          <w:shd w:val="clear" w:color="auto" w:fill="FFFFFF"/>
          <w:lang w:val="en-GB"/>
        </w:rPr>
        <w:t>MacMillan, A, Corser, A, Clark, Z, McCrum, C,</w:t>
      </w:r>
      <w:r w:rsidRPr="00C34D4B">
        <w:rPr>
          <w:rFonts w:asciiTheme="minorHAnsi" w:eastAsia="Calibri" w:hAnsiTheme="minorHAnsi" w:cstheme="minorHAnsi"/>
          <w:sz w:val="22"/>
          <w:szCs w:val="22"/>
          <w:lang w:val="en-GB"/>
        </w:rPr>
        <w:t xml:space="preserve"> </w:t>
      </w:r>
      <w:r w:rsidRPr="00C34D4B">
        <w:rPr>
          <w:rFonts w:asciiTheme="minorHAnsi" w:eastAsia="Calibri" w:hAnsiTheme="minorHAnsi" w:cstheme="minorHAnsi"/>
          <w:sz w:val="22"/>
          <w:szCs w:val="22"/>
          <w:shd w:val="clear" w:color="auto" w:fill="FFFFFF"/>
          <w:lang w:val="en-GB"/>
        </w:rPr>
        <w:t>Gaffney, K (2021) Masterclass: Axial spondyloarthritis for osteopaths and manual therapists</w:t>
      </w:r>
      <w:r w:rsidRPr="00C34D4B">
        <w:rPr>
          <w:rFonts w:asciiTheme="minorHAnsi" w:eastAsia="Calibri" w:hAnsiTheme="minorHAnsi" w:cstheme="minorHAnsi"/>
          <w:i/>
          <w:iCs/>
          <w:sz w:val="22"/>
          <w:szCs w:val="22"/>
          <w:shd w:val="clear" w:color="auto" w:fill="FFFFFF"/>
          <w:lang w:val="en-GB"/>
        </w:rPr>
        <w:t>.</w:t>
      </w:r>
      <w:r w:rsidRPr="00C34D4B">
        <w:rPr>
          <w:rFonts w:asciiTheme="minorHAnsi" w:eastAsia="Calibri" w:hAnsiTheme="minorHAnsi" w:cstheme="minorHAnsi"/>
          <w:sz w:val="22"/>
          <w:szCs w:val="22"/>
          <w:shd w:val="clear" w:color="auto" w:fill="FFFFFF"/>
          <w:lang w:val="en-GB"/>
        </w:rPr>
        <w:t> </w:t>
      </w:r>
      <w:r w:rsidRPr="00C34D4B">
        <w:rPr>
          <w:rFonts w:asciiTheme="minorHAnsi" w:eastAsia="Calibri" w:hAnsiTheme="minorHAnsi" w:cstheme="minorHAnsi"/>
          <w:i/>
          <w:iCs/>
          <w:sz w:val="22"/>
          <w:szCs w:val="22"/>
          <w:shd w:val="clear" w:color="auto" w:fill="FFFFFF"/>
          <w:lang w:val="en-GB"/>
        </w:rPr>
        <w:t>International Journal of Osteopathic Medicine</w:t>
      </w:r>
      <w:r w:rsidRPr="00C34D4B">
        <w:rPr>
          <w:rFonts w:asciiTheme="minorHAnsi" w:eastAsia="Calibri" w:hAnsiTheme="minorHAnsi" w:cstheme="minorHAnsi"/>
          <w:sz w:val="22"/>
          <w:szCs w:val="22"/>
          <w:shd w:val="clear" w:color="auto" w:fill="FFFFFF"/>
          <w:lang w:val="en-GB"/>
        </w:rPr>
        <w:t>, 41. pp. 45-56. ISSN 1746-0689</w:t>
      </w:r>
      <w:r w:rsidRPr="00C34D4B">
        <w:rPr>
          <w:rFonts w:asciiTheme="minorHAnsi" w:eastAsia="Calibri" w:hAnsiTheme="minorHAnsi" w:cstheme="minorHAnsi"/>
          <w:sz w:val="22"/>
          <w:szCs w:val="22"/>
          <w:lang w:val="en-GB"/>
        </w:rPr>
        <w:t xml:space="preserve"> </w:t>
      </w:r>
    </w:p>
    <w:p w14:paraId="4FC06A40" w14:textId="7355280B" w:rsidR="00F0152B" w:rsidRDefault="00EB057F" w:rsidP="00F0152B">
      <w:pPr>
        <w:spacing w:line="276" w:lineRule="auto"/>
        <w:rPr>
          <w:rFonts w:cs="Arial"/>
          <w:b/>
          <w:bCs/>
          <w:color w:val="0D161B"/>
          <w:lang w:val="en-GB"/>
        </w:rPr>
      </w:pPr>
      <w:r>
        <w:t>9.</w:t>
      </w:r>
      <w:hyperlink r:id="rId17" w:history="1">
        <w:r w:rsidRPr="00C34D4B">
          <w:rPr>
            <w:color w:val="0000FF"/>
            <w:u w:val="single"/>
          </w:rPr>
          <w:t>Rheumatology_Physiotherapy_Capabilities_Framework_vFINAL_Interactive.pdf (macpweb.org)</w:t>
        </w:r>
      </w:hyperlink>
      <w:r w:rsidR="00F0152B" w:rsidRPr="00F0152B">
        <w:rPr>
          <w:rFonts w:cs="Arial"/>
          <w:b/>
          <w:bCs/>
          <w:color w:val="0D161B"/>
          <w:lang w:val="en-GB"/>
        </w:rPr>
        <w:t xml:space="preserve"> </w:t>
      </w:r>
    </w:p>
    <w:p w14:paraId="24EE1C11" w14:textId="77777777" w:rsidR="009A5F22" w:rsidRDefault="009A5F22" w:rsidP="00F0152B">
      <w:pPr>
        <w:spacing w:line="276" w:lineRule="auto"/>
        <w:rPr>
          <w:rFonts w:cs="Arial"/>
          <w:b/>
          <w:bCs/>
          <w:color w:val="0D161B"/>
          <w:lang w:val="en-GB"/>
        </w:rPr>
      </w:pPr>
    </w:p>
    <w:p w14:paraId="4C02B97C" w14:textId="77777777" w:rsidR="00B34B27" w:rsidRDefault="00B34B27" w:rsidP="00F0152B">
      <w:pPr>
        <w:spacing w:line="276" w:lineRule="auto"/>
        <w:rPr>
          <w:rFonts w:cs="Arial"/>
          <w:b/>
          <w:bCs/>
          <w:color w:val="0D161B"/>
          <w:lang w:val="en-GB"/>
        </w:rPr>
      </w:pPr>
    </w:p>
    <w:p w14:paraId="56B777DF" w14:textId="77777777" w:rsidR="00B34B27" w:rsidRDefault="00B34B27" w:rsidP="00F0152B">
      <w:pPr>
        <w:spacing w:line="276" w:lineRule="auto"/>
        <w:rPr>
          <w:rFonts w:cs="Arial"/>
          <w:b/>
          <w:bCs/>
          <w:color w:val="0D161B"/>
          <w:lang w:val="en-GB"/>
        </w:rPr>
      </w:pPr>
    </w:p>
    <w:p w14:paraId="2A6EC635" w14:textId="77777777" w:rsidR="00B34B27" w:rsidRDefault="00B34B27" w:rsidP="00F0152B">
      <w:pPr>
        <w:spacing w:line="276" w:lineRule="auto"/>
        <w:rPr>
          <w:rFonts w:cs="Arial"/>
          <w:b/>
          <w:bCs/>
          <w:color w:val="0D161B"/>
          <w:lang w:val="en-GB"/>
        </w:rPr>
      </w:pPr>
    </w:p>
    <w:p w14:paraId="569AB0EC" w14:textId="77777777" w:rsidR="00B34B27" w:rsidRDefault="00B34B27" w:rsidP="00F0152B">
      <w:pPr>
        <w:spacing w:line="276" w:lineRule="auto"/>
        <w:rPr>
          <w:rFonts w:cs="Arial"/>
          <w:b/>
          <w:bCs/>
          <w:color w:val="0D161B"/>
          <w:lang w:val="en-GB"/>
        </w:rPr>
      </w:pPr>
    </w:p>
    <w:p w14:paraId="27F87B48" w14:textId="77777777" w:rsidR="00B34B27" w:rsidRDefault="00B34B27" w:rsidP="00F0152B">
      <w:pPr>
        <w:spacing w:line="276" w:lineRule="auto"/>
        <w:rPr>
          <w:rFonts w:cs="Arial"/>
          <w:b/>
          <w:bCs/>
          <w:color w:val="0D161B"/>
          <w:lang w:val="en-GB"/>
        </w:rPr>
      </w:pPr>
    </w:p>
    <w:p w14:paraId="0D112743" w14:textId="77777777" w:rsidR="00B34B27" w:rsidRDefault="00B34B27" w:rsidP="00F0152B">
      <w:pPr>
        <w:spacing w:line="276" w:lineRule="auto"/>
        <w:rPr>
          <w:rFonts w:cs="Arial"/>
          <w:b/>
          <w:bCs/>
          <w:color w:val="0D161B"/>
          <w:lang w:val="en-GB"/>
        </w:rPr>
      </w:pPr>
    </w:p>
    <w:p w14:paraId="59FE68BA" w14:textId="77777777" w:rsidR="00B34B27" w:rsidRDefault="00B34B27" w:rsidP="00F0152B">
      <w:pPr>
        <w:spacing w:line="276" w:lineRule="auto"/>
        <w:rPr>
          <w:rFonts w:cs="Arial"/>
          <w:b/>
          <w:bCs/>
          <w:color w:val="0D161B"/>
          <w:lang w:val="en-GB"/>
        </w:rPr>
      </w:pPr>
    </w:p>
    <w:p w14:paraId="1724D37C" w14:textId="77777777" w:rsidR="00B34B27" w:rsidRDefault="00B34B27" w:rsidP="00F0152B">
      <w:pPr>
        <w:spacing w:line="276" w:lineRule="auto"/>
        <w:rPr>
          <w:rFonts w:cs="Arial"/>
          <w:b/>
          <w:bCs/>
          <w:color w:val="0D161B"/>
          <w:lang w:val="en-GB"/>
        </w:rPr>
      </w:pPr>
    </w:p>
    <w:p w14:paraId="63EFCD10" w14:textId="77777777" w:rsidR="00B34B27" w:rsidRDefault="00B34B27" w:rsidP="00F0152B">
      <w:pPr>
        <w:spacing w:line="276" w:lineRule="auto"/>
        <w:rPr>
          <w:rFonts w:cs="Arial"/>
          <w:b/>
          <w:bCs/>
          <w:color w:val="0D161B"/>
          <w:lang w:val="en-GB"/>
        </w:rPr>
      </w:pPr>
    </w:p>
    <w:p w14:paraId="2C2E3C5A" w14:textId="77777777" w:rsidR="00B34B27" w:rsidRDefault="00B34B27" w:rsidP="00F0152B">
      <w:pPr>
        <w:spacing w:line="276" w:lineRule="auto"/>
        <w:rPr>
          <w:rFonts w:cs="Arial"/>
          <w:b/>
          <w:bCs/>
          <w:color w:val="0D161B"/>
          <w:lang w:val="en-GB"/>
        </w:rPr>
      </w:pPr>
    </w:p>
    <w:p w14:paraId="71F04BDF" w14:textId="77777777" w:rsidR="00B34B27" w:rsidRDefault="00B34B27" w:rsidP="00F0152B">
      <w:pPr>
        <w:spacing w:line="276" w:lineRule="auto"/>
        <w:rPr>
          <w:rFonts w:cs="Arial"/>
          <w:b/>
          <w:bCs/>
          <w:color w:val="0D161B"/>
          <w:lang w:val="en-GB"/>
        </w:rPr>
      </w:pPr>
    </w:p>
    <w:p w14:paraId="31831A54" w14:textId="77777777" w:rsidR="00B34B27" w:rsidRDefault="00B34B27" w:rsidP="00F0152B">
      <w:pPr>
        <w:spacing w:line="276" w:lineRule="auto"/>
        <w:rPr>
          <w:rFonts w:cs="Arial"/>
          <w:b/>
          <w:bCs/>
          <w:color w:val="0D161B"/>
          <w:lang w:val="en-GB"/>
        </w:rPr>
      </w:pPr>
    </w:p>
    <w:p w14:paraId="4A95292B" w14:textId="77777777" w:rsidR="00B34B27" w:rsidRDefault="00B34B27" w:rsidP="00F0152B">
      <w:pPr>
        <w:spacing w:line="276" w:lineRule="auto"/>
        <w:rPr>
          <w:rFonts w:cs="Arial"/>
          <w:b/>
          <w:bCs/>
          <w:color w:val="0D161B"/>
          <w:lang w:val="en-GB"/>
        </w:rPr>
      </w:pPr>
    </w:p>
    <w:p w14:paraId="15C43819" w14:textId="77777777" w:rsidR="00B34B27" w:rsidRDefault="00B34B27" w:rsidP="00F0152B">
      <w:pPr>
        <w:spacing w:line="276" w:lineRule="auto"/>
        <w:rPr>
          <w:rFonts w:cs="Arial"/>
          <w:b/>
          <w:bCs/>
          <w:color w:val="0D161B"/>
          <w:lang w:val="en-GB"/>
        </w:rPr>
      </w:pPr>
    </w:p>
    <w:p w14:paraId="2160943B" w14:textId="77777777" w:rsidR="00B34B27" w:rsidRDefault="00B34B27" w:rsidP="00F0152B">
      <w:pPr>
        <w:spacing w:line="276" w:lineRule="auto"/>
        <w:rPr>
          <w:rFonts w:cs="Arial"/>
          <w:b/>
          <w:bCs/>
          <w:color w:val="0D161B"/>
          <w:lang w:val="en-GB"/>
        </w:rPr>
      </w:pPr>
    </w:p>
    <w:p w14:paraId="1437DF91" w14:textId="77777777" w:rsidR="00B34B27" w:rsidRDefault="00B34B27" w:rsidP="00F0152B">
      <w:pPr>
        <w:spacing w:line="276" w:lineRule="auto"/>
        <w:rPr>
          <w:rFonts w:cs="Arial"/>
          <w:b/>
          <w:bCs/>
          <w:color w:val="0D161B"/>
          <w:lang w:val="en-GB"/>
        </w:rPr>
      </w:pPr>
    </w:p>
    <w:p w14:paraId="47683239" w14:textId="112359C7" w:rsidR="00F0152B" w:rsidRPr="00E7497E" w:rsidRDefault="00F0152B" w:rsidP="00F0152B">
      <w:pPr>
        <w:spacing w:line="276" w:lineRule="auto"/>
        <w:rPr>
          <w:rFonts w:cs="Arial"/>
          <w:color w:val="0D161B"/>
          <w:lang w:val="en-GB"/>
        </w:rPr>
      </w:pPr>
      <w:bookmarkStart w:id="0" w:name="_Hlk119502569"/>
      <w:r w:rsidRPr="00E7497E">
        <w:rPr>
          <w:rFonts w:cs="Arial"/>
          <w:b/>
          <w:bCs/>
          <w:color w:val="0D161B"/>
          <w:lang w:val="en-GB"/>
        </w:rPr>
        <w:t>Learning outcomes</w:t>
      </w:r>
    </w:p>
    <w:p w14:paraId="035B7FDD" w14:textId="77777777" w:rsidR="00F0152B" w:rsidRPr="00E7497E" w:rsidRDefault="00F0152B" w:rsidP="00F0152B">
      <w:pPr>
        <w:numPr>
          <w:ilvl w:val="0"/>
          <w:numId w:val="1"/>
        </w:numPr>
        <w:spacing w:before="84" w:line="276" w:lineRule="auto"/>
        <w:ind w:left="480"/>
        <w:rPr>
          <w:rFonts w:cs="Arial"/>
          <w:color w:val="0D161B"/>
          <w:lang w:val="en-GB"/>
        </w:rPr>
      </w:pPr>
      <w:r w:rsidRPr="00E7497E">
        <w:rPr>
          <w:rFonts w:cs="Arial"/>
          <w:color w:val="0D161B"/>
          <w:lang w:val="en-GB"/>
        </w:rPr>
        <w:t>Develop an awareness of the clinical presentations of axial spondyloarthritis and peripheral spondyloarthropathies. </w:t>
      </w:r>
    </w:p>
    <w:p w14:paraId="6844FBE0" w14:textId="77777777" w:rsidR="00F0152B" w:rsidRPr="00E7497E" w:rsidRDefault="00F0152B" w:rsidP="00F0152B">
      <w:pPr>
        <w:numPr>
          <w:ilvl w:val="0"/>
          <w:numId w:val="1"/>
        </w:numPr>
        <w:spacing w:before="84" w:line="276" w:lineRule="auto"/>
        <w:ind w:left="480"/>
        <w:rPr>
          <w:rFonts w:cs="Arial"/>
          <w:color w:val="0D161B"/>
          <w:lang w:val="en-GB"/>
        </w:rPr>
      </w:pPr>
      <w:r w:rsidRPr="00E7497E">
        <w:rPr>
          <w:rFonts w:cs="Arial"/>
          <w:color w:val="0D161B"/>
          <w:lang w:val="en-GB"/>
        </w:rPr>
        <w:t>Gain an understanding of the importance of screening for spondyloarthritis in musculoskeletal clinical assessments. </w:t>
      </w:r>
    </w:p>
    <w:p w14:paraId="397FC23A" w14:textId="77777777" w:rsidR="00F0152B" w:rsidRPr="00E7497E" w:rsidRDefault="00F0152B" w:rsidP="00F0152B">
      <w:pPr>
        <w:numPr>
          <w:ilvl w:val="0"/>
          <w:numId w:val="1"/>
        </w:numPr>
        <w:spacing w:before="84" w:line="276" w:lineRule="auto"/>
        <w:ind w:left="480"/>
        <w:rPr>
          <w:rFonts w:cs="Arial"/>
          <w:color w:val="0D161B"/>
          <w:lang w:val="en-GB"/>
        </w:rPr>
      </w:pPr>
      <w:r w:rsidRPr="00E7497E">
        <w:rPr>
          <w:rFonts w:cs="Arial"/>
          <w:color w:val="0D161B"/>
          <w:lang w:val="en-GB"/>
        </w:rPr>
        <w:t>Develop knowledge of the clinical signs, symptoms and risk factors which increase suspicion of axial and peripheral spondyloarthritis.</w:t>
      </w:r>
    </w:p>
    <w:p w14:paraId="754AFC97" w14:textId="77777777" w:rsidR="00F0152B" w:rsidRPr="00E7497E" w:rsidRDefault="00F0152B" w:rsidP="00F0152B">
      <w:pPr>
        <w:numPr>
          <w:ilvl w:val="0"/>
          <w:numId w:val="1"/>
        </w:numPr>
        <w:spacing w:before="84" w:line="276" w:lineRule="auto"/>
        <w:ind w:left="480"/>
        <w:rPr>
          <w:rFonts w:cs="Arial"/>
          <w:color w:val="0D161B"/>
          <w:lang w:val="en-GB"/>
        </w:rPr>
      </w:pPr>
      <w:r w:rsidRPr="00E7497E">
        <w:rPr>
          <w:rFonts w:cs="Arial"/>
          <w:color w:val="0D161B"/>
          <w:lang w:val="en-GB"/>
        </w:rPr>
        <w:t>Gain knowledge and skills in screening for axial and peripheral spondyloarthritis in a clinical examination.</w:t>
      </w:r>
    </w:p>
    <w:p w14:paraId="58C91EAC" w14:textId="77777777" w:rsidR="00F0152B" w:rsidRPr="00E7497E" w:rsidRDefault="00F0152B" w:rsidP="00F0152B">
      <w:pPr>
        <w:numPr>
          <w:ilvl w:val="0"/>
          <w:numId w:val="1"/>
        </w:numPr>
        <w:spacing w:before="84" w:line="276" w:lineRule="auto"/>
        <w:ind w:left="480"/>
        <w:rPr>
          <w:rFonts w:cs="Arial"/>
          <w:color w:val="0D161B"/>
          <w:lang w:val="en-GB"/>
        </w:rPr>
      </w:pPr>
      <w:r w:rsidRPr="00E7497E">
        <w:rPr>
          <w:rFonts w:cs="Arial"/>
          <w:color w:val="0D161B"/>
          <w:lang w:val="en-GB"/>
        </w:rPr>
        <w:t>Develop an understanding of the recommendations of NICE Guidance on Spondyloarthritis on when to refer to rheumatology and discussion on how to undertake referrals.</w:t>
      </w:r>
    </w:p>
    <w:p w14:paraId="36AA8307" w14:textId="77777777" w:rsidR="00F0152B" w:rsidRPr="00E7497E" w:rsidRDefault="00F0152B" w:rsidP="00F0152B">
      <w:pPr>
        <w:numPr>
          <w:ilvl w:val="0"/>
          <w:numId w:val="1"/>
        </w:numPr>
        <w:spacing w:before="84" w:line="276" w:lineRule="auto"/>
        <w:ind w:left="480"/>
        <w:rPr>
          <w:rFonts w:cs="Arial"/>
          <w:color w:val="0D161B"/>
          <w:lang w:val="en-GB"/>
        </w:rPr>
      </w:pPr>
      <w:r w:rsidRPr="00E7497E">
        <w:rPr>
          <w:rFonts w:cs="Arial"/>
          <w:color w:val="0D161B"/>
          <w:lang w:val="en-GB"/>
        </w:rPr>
        <w:t>Develop an understanding of the role of blood tests and imaging in suspected axial and peripheral spondyloarthritis.</w:t>
      </w:r>
    </w:p>
    <w:p w14:paraId="46717584" w14:textId="77777777" w:rsidR="00F0152B" w:rsidRPr="00E7497E" w:rsidRDefault="00F0152B" w:rsidP="00F0152B">
      <w:pPr>
        <w:numPr>
          <w:ilvl w:val="0"/>
          <w:numId w:val="1"/>
        </w:numPr>
        <w:spacing w:before="84" w:line="276" w:lineRule="auto"/>
        <w:ind w:left="480"/>
        <w:rPr>
          <w:rFonts w:cs="Arial"/>
          <w:color w:val="0D161B"/>
          <w:lang w:val="en-GB"/>
        </w:rPr>
      </w:pPr>
      <w:r w:rsidRPr="00E7497E">
        <w:rPr>
          <w:rFonts w:cs="Arial"/>
          <w:color w:val="0D161B"/>
          <w:lang w:val="en-GB"/>
        </w:rPr>
        <w:t>Gain practical skills in history taking and clinical examination for suspected spondyloarthritis and associated extra-articular manifestations, including skin and nail examination for psoriasis.</w:t>
      </w:r>
    </w:p>
    <w:p w14:paraId="09B617DB" w14:textId="77777777" w:rsidR="00F0152B" w:rsidRPr="00E7497E" w:rsidRDefault="00F0152B" w:rsidP="00F0152B">
      <w:pPr>
        <w:numPr>
          <w:ilvl w:val="0"/>
          <w:numId w:val="1"/>
        </w:numPr>
        <w:spacing w:before="84" w:line="276" w:lineRule="auto"/>
        <w:ind w:left="480"/>
        <w:rPr>
          <w:rFonts w:cs="Arial"/>
          <w:color w:val="0D161B"/>
          <w:lang w:val="en-GB"/>
        </w:rPr>
      </w:pPr>
      <w:r w:rsidRPr="00E7497E">
        <w:rPr>
          <w:rFonts w:cs="Arial"/>
          <w:color w:val="0D161B"/>
          <w:lang w:val="en-GB"/>
        </w:rPr>
        <w:t>Be aware of features and develop advanced clinical reasoning skills in the differentiation of mechanical and suspected inflammatory clinical presentations.</w:t>
      </w:r>
    </w:p>
    <w:p w14:paraId="29BDEA4D" w14:textId="77777777" w:rsidR="00F0152B" w:rsidRPr="00E7497E" w:rsidRDefault="00F0152B" w:rsidP="00F0152B">
      <w:pPr>
        <w:numPr>
          <w:ilvl w:val="0"/>
          <w:numId w:val="1"/>
        </w:numPr>
        <w:spacing w:before="84" w:line="276" w:lineRule="auto"/>
        <w:ind w:left="480"/>
        <w:rPr>
          <w:rFonts w:cs="Arial"/>
          <w:color w:val="0D161B"/>
          <w:lang w:val="en-GB"/>
        </w:rPr>
      </w:pPr>
      <w:r w:rsidRPr="00E7497E">
        <w:rPr>
          <w:rFonts w:cs="Arial"/>
          <w:color w:val="0D161B"/>
          <w:lang w:val="en-GB"/>
        </w:rPr>
        <w:t>Develop an awareness of treatment options for spondyloarthritis and supporting long-term management.</w:t>
      </w:r>
    </w:p>
    <w:p w14:paraId="75D25939" w14:textId="77777777" w:rsidR="00F0152B" w:rsidRPr="00E7497E" w:rsidRDefault="00F0152B" w:rsidP="00F0152B">
      <w:pPr>
        <w:spacing w:after="240" w:line="276" w:lineRule="auto"/>
        <w:rPr>
          <w:rFonts w:cs="Arial"/>
          <w:color w:val="0D161B"/>
          <w:lang w:val="en-GB"/>
        </w:rPr>
      </w:pPr>
      <w:r w:rsidRPr="00E7497E">
        <w:rPr>
          <w:rFonts w:cs="Arial"/>
          <w:color w:val="0D161B"/>
          <w:lang w:val="en-GB"/>
        </w:rPr>
        <w:t> </w:t>
      </w:r>
    </w:p>
    <w:p w14:paraId="250BF23A" w14:textId="21B5C3F7" w:rsidR="00EB057F" w:rsidRPr="00C34D4B" w:rsidRDefault="00EB057F" w:rsidP="00EB057F">
      <w:pPr>
        <w:spacing w:before="120" w:after="120" w:line="259" w:lineRule="auto"/>
        <w:rPr>
          <w:rFonts w:asciiTheme="minorHAnsi" w:eastAsia="Calibri" w:hAnsiTheme="minorHAnsi" w:cstheme="minorHAnsi"/>
          <w:sz w:val="22"/>
          <w:szCs w:val="22"/>
          <w:lang w:val="en-GB"/>
        </w:rPr>
      </w:pPr>
    </w:p>
    <w:p w14:paraId="56586865" w14:textId="77777777" w:rsidR="00EB057F" w:rsidRDefault="00EB057F" w:rsidP="00EB057F">
      <w:pPr>
        <w:spacing w:line="276" w:lineRule="auto"/>
        <w:rPr>
          <w:rFonts w:cs="Arial"/>
          <w:b/>
          <w:bCs/>
          <w:color w:val="0D161B"/>
          <w:lang w:val="en-GB"/>
        </w:rPr>
      </w:pPr>
    </w:p>
    <w:tbl>
      <w:tblPr>
        <w:tblStyle w:val="TableGrid"/>
        <w:tblW w:w="0" w:type="auto"/>
        <w:tblLook w:val="04A0" w:firstRow="1" w:lastRow="0" w:firstColumn="1" w:lastColumn="0" w:noHBand="0" w:noVBand="1"/>
      </w:tblPr>
      <w:tblGrid>
        <w:gridCol w:w="2761"/>
        <w:gridCol w:w="1757"/>
        <w:gridCol w:w="1089"/>
        <w:gridCol w:w="1404"/>
        <w:gridCol w:w="2005"/>
      </w:tblGrid>
      <w:tr w:rsidR="004A06F3" w:rsidRPr="00F512D5" w14:paraId="3AF4FE3D" w14:textId="0F2AC17A" w:rsidTr="004A06F3">
        <w:tc>
          <w:tcPr>
            <w:tcW w:w="3390" w:type="dxa"/>
          </w:tcPr>
          <w:p w14:paraId="4AD07A69" w14:textId="77777777" w:rsidR="004A06F3" w:rsidRPr="00F512D5" w:rsidRDefault="004A06F3" w:rsidP="00BC52AC">
            <w:pPr>
              <w:spacing w:line="276" w:lineRule="auto"/>
              <w:rPr>
                <w:rFonts w:cs="Arial"/>
                <w:color w:val="0D161B"/>
                <w:sz w:val="18"/>
                <w:szCs w:val="18"/>
                <w:lang w:val="en-GB"/>
              </w:rPr>
            </w:pPr>
            <w:bookmarkStart w:id="1" w:name="_Hlk110413735"/>
            <w:r w:rsidRPr="00F512D5">
              <w:rPr>
                <w:rFonts w:cs="Arial"/>
                <w:b/>
                <w:bCs/>
                <w:color w:val="0D161B"/>
                <w:sz w:val="18"/>
                <w:szCs w:val="18"/>
                <w:lang w:val="en-GB"/>
              </w:rPr>
              <w:t>Learning outcomes</w:t>
            </w:r>
          </w:p>
        </w:tc>
        <w:tc>
          <w:tcPr>
            <w:tcW w:w="1807" w:type="dxa"/>
          </w:tcPr>
          <w:p w14:paraId="5A3DBAAF" w14:textId="554407E3" w:rsidR="004A06F3" w:rsidRPr="00F512D5" w:rsidRDefault="004A06F3" w:rsidP="00BC52AC">
            <w:pPr>
              <w:spacing w:line="276" w:lineRule="auto"/>
              <w:rPr>
                <w:rFonts w:cs="Arial"/>
                <w:b/>
                <w:bCs/>
                <w:color w:val="0D161B"/>
                <w:sz w:val="18"/>
                <w:szCs w:val="18"/>
                <w:lang w:val="en-GB"/>
              </w:rPr>
            </w:pPr>
            <w:r w:rsidRPr="00F512D5">
              <w:rPr>
                <w:rFonts w:cs="Arial"/>
                <w:b/>
                <w:bCs/>
                <w:color w:val="0D161B"/>
                <w:sz w:val="18"/>
                <w:szCs w:val="18"/>
                <w:lang w:val="en-GB"/>
              </w:rPr>
              <w:t>Delivery Methods</w:t>
            </w:r>
          </w:p>
        </w:tc>
        <w:tc>
          <w:tcPr>
            <w:tcW w:w="1361" w:type="dxa"/>
          </w:tcPr>
          <w:p w14:paraId="124364FD" w14:textId="50F68150" w:rsidR="004A06F3" w:rsidRPr="00F512D5" w:rsidRDefault="004A06F3" w:rsidP="00BC52AC">
            <w:pPr>
              <w:spacing w:line="276" w:lineRule="auto"/>
              <w:rPr>
                <w:rFonts w:cs="Arial"/>
                <w:b/>
                <w:bCs/>
                <w:color w:val="0D161B"/>
                <w:sz w:val="18"/>
                <w:szCs w:val="18"/>
                <w:lang w:val="en-GB"/>
              </w:rPr>
            </w:pPr>
            <w:r w:rsidRPr="00F512D5">
              <w:rPr>
                <w:rFonts w:cs="Arial"/>
                <w:b/>
                <w:bCs/>
                <w:color w:val="0D161B"/>
                <w:sz w:val="18"/>
                <w:szCs w:val="18"/>
                <w:lang w:val="en-GB"/>
              </w:rPr>
              <w:t>Msk CCF ^</w:t>
            </w:r>
          </w:p>
        </w:tc>
        <w:tc>
          <w:tcPr>
            <w:tcW w:w="1539" w:type="dxa"/>
          </w:tcPr>
          <w:p w14:paraId="7A13163C" w14:textId="5B1C4682" w:rsidR="004A06F3" w:rsidRPr="00F512D5" w:rsidRDefault="004A06F3" w:rsidP="00BC52AC">
            <w:pPr>
              <w:spacing w:line="276" w:lineRule="auto"/>
              <w:rPr>
                <w:rFonts w:cs="Arial"/>
                <w:b/>
                <w:bCs/>
                <w:color w:val="0D161B"/>
                <w:sz w:val="18"/>
                <w:szCs w:val="18"/>
                <w:lang w:val="en-GB"/>
              </w:rPr>
            </w:pPr>
            <w:r w:rsidRPr="00F512D5">
              <w:rPr>
                <w:rFonts w:cs="Arial"/>
                <w:b/>
                <w:bCs/>
                <w:color w:val="0D161B"/>
                <w:sz w:val="18"/>
                <w:szCs w:val="18"/>
                <w:lang w:val="en-GB"/>
              </w:rPr>
              <w:t>IFOMPT Dimension#</w:t>
            </w:r>
          </w:p>
        </w:tc>
        <w:tc>
          <w:tcPr>
            <w:tcW w:w="919" w:type="dxa"/>
          </w:tcPr>
          <w:p w14:paraId="764D1AD1" w14:textId="31BFDF62" w:rsidR="004A06F3" w:rsidRPr="00F512D5" w:rsidRDefault="009A5F22" w:rsidP="00BC52AC">
            <w:pPr>
              <w:spacing w:line="276" w:lineRule="auto"/>
              <w:rPr>
                <w:rFonts w:cs="Arial"/>
                <w:b/>
                <w:bCs/>
                <w:color w:val="0D161B"/>
                <w:sz w:val="18"/>
                <w:szCs w:val="18"/>
                <w:lang w:val="en-GB"/>
              </w:rPr>
            </w:pPr>
            <w:r>
              <w:rPr>
                <w:rFonts w:cs="Arial"/>
                <w:b/>
                <w:bCs/>
                <w:color w:val="0D161B"/>
                <w:sz w:val="18"/>
                <w:szCs w:val="18"/>
                <w:lang w:val="en-GB"/>
              </w:rPr>
              <w:t xml:space="preserve">FCP Roadmap </w:t>
            </w:r>
            <w:r w:rsidR="004A06F3">
              <w:rPr>
                <w:rFonts w:cs="Arial"/>
                <w:b/>
                <w:bCs/>
                <w:color w:val="0D161B"/>
                <w:sz w:val="18"/>
                <w:szCs w:val="18"/>
                <w:lang w:val="en-GB"/>
              </w:rPr>
              <w:t xml:space="preserve">Essential Knowledge: </w:t>
            </w:r>
            <w:r w:rsidR="004A06F3" w:rsidRPr="004A06F3">
              <w:rPr>
                <w:rFonts w:cs="Arial"/>
                <w:i/>
                <w:iCs/>
                <w:color w:val="0D161B"/>
                <w:sz w:val="18"/>
                <w:szCs w:val="18"/>
                <w:lang w:val="en-GB"/>
              </w:rPr>
              <w:t>Specific knowledge underpinning capabilities 1 &amp; 2</w:t>
            </w:r>
          </w:p>
        </w:tc>
      </w:tr>
      <w:tr w:rsidR="004A06F3" w:rsidRPr="00F512D5" w14:paraId="60189742" w14:textId="070AB84B" w:rsidTr="004A06F3">
        <w:tc>
          <w:tcPr>
            <w:tcW w:w="3390" w:type="dxa"/>
          </w:tcPr>
          <w:p w14:paraId="63CA39CF" w14:textId="77777777" w:rsidR="004A06F3" w:rsidRPr="00F512D5" w:rsidRDefault="004A06F3" w:rsidP="00BC52AC">
            <w:pPr>
              <w:numPr>
                <w:ilvl w:val="0"/>
                <w:numId w:val="1"/>
              </w:numPr>
              <w:spacing w:before="84" w:line="276" w:lineRule="auto"/>
              <w:ind w:left="480"/>
              <w:rPr>
                <w:rFonts w:cs="Arial"/>
                <w:color w:val="0D161B"/>
                <w:sz w:val="18"/>
                <w:szCs w:val="18"/>
                <w:lang w:val="en-GB"/>
              </w:rPr>
            </w:pPr>
            <w:bookmarkStart w:id="2" w:name="_Hlk118558289"/>
            <w:r w:rsidRPr="00F512D5">
              <w:rPr>
                <w:rFonts w:cs="Arial"/>
                <w:color w:val="0D161B"/>
                <w:sz w:val="18"/>
                <w:szCs w:val="18"/>
                <w:lang w:val="en-GB"/>
              </w:rPr>
              <w:t>Develop an awareness of the clinical presentations of axial spondyloarthritis and peripheral spondyloarthropathies. </w:t>
            </w:r>
          </w:p>
        </w:tc>
        <w:tc>
          <w:tcPr>
            <w:tcW w:w="1807" w:type="dxa"/>
          </w:tcPr>
          <w:p w14:paraId="334E8C59" w14:textId="77777777" w:rsidR="004A06F3" w:rsidRPr="00F512D5" w:rsidRDefault="004A06F3" w:rsidP="00BC52AC">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Clinical reasoning through vignette cases and knowledge quizzes</w:t>
            </w:r>
          </w:p>
          <w:p w14:paraId="6F196CC0" w14:textId="77777777" w:rsidR="004A06F3" w:rsidRPr="00F512D5" w:rsidRDefault="004A06F3" w:rsidP="00BC52AC">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 xml:space="preserve">Pre-course reading and resource materials </w:t>
            </w:r>
          </w:p>
          <w:p w14:paraId="7A9B8623" w14:textId="7BD51134" w:rsidR="004A06F3" w:rsidRPr="00F512D5" w:rsidRDefault="004A06F3" w:rsidP="00BC52AC">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Peer learning through questions, group activities and discussion</w:t>
            </w:r>
          </w:p>
        </w:tc>
        <w:tc>
          <w:tcPr>
            <w:tcW w:w="1361" w:type="dxa"/>
          </w:tcPr>
          <w:p w14:paraId="3273612F" w14:textId="0445F697" w:rsidR="004A06F3" w:rsidRPr="00F512D5" w:rsidRDefault="004A06F3" w:rsidP="00BC52AC">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B3, B4, B5</w:t>
            </w:r>
          </w:p>
        </w:tc>
        <w:tc>
          <w:tcPr>
            <w:tcW w:w="1539" w:type="dxa"/>
          </w:tcPr>
          <w:p w14:paraId="5679FDA6" w14:textId="77777777" w:rsidR="004A06F3" w:rsidRPr="00F512D5" w:rsidRDefault="004A06F3" w:rsidP="00BC52AC">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 xml:space="preserve">D2, D5, D6, D8, </w:t>
            </w:r>
          </w:p>
          <w:p w14:paraId="397B24E6" w14:textId="77777777" w:rsidR="004A06F3" w:rsidRDefault="004A06F3" w:rsidP="00BC52AC">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K1, K2, K3, K4, K5, K7</w:t>
            </w:r>
          </w:p>
          <w:p w14:paraId="7C0C746E" w14:textId="77777777" w:rsidR="004A06F3" w:rsidRDefault="004A06F3" w:rsidP="00BC52AC">
            <w:pPr>
              <w:numPr>
                <w:ilvl w:val="0"/>
                <w:numId w:val="1"/>
              </w:numPr>
              <w:spacing w:before="84" w:line="276" w:lineRule="auto"/>
              <w:ind w:left="480"/>
              <w:rPr>
                <w:rFonts w:cs="Arial"/>
                <w:color w:val="0D161B"/>
                <w:sz w:val="18"/>
                <w:szCs w:val="18"/>
                <w:lang w:val="en-GB"/>
              </w:rPr>
            </w:pPr>
            <w:r>
              <w:rPr>
                <w:rFonts w:cs="Arial"/>
                <w:color w:val="0D161B"/>
                <w:sz w:val="18"/>
                <w:szCs w:val="18"/>
                <w:lang w:val="en-GB"/>
              </w:rPr>
              <w:t>S3</w:t>
            </w:r>
          </w:p>
          <w:p w14:paraId="5CDDA0EF" w14:textId="77777777" w:rsidR="004A06F3" w:rsidRDefault="004A06F3" w:rsidP="00BC52AC">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D1-S3</w:t>
            </w:r>
          </w:p>
          <w:p w14:paraId="0E043441" w14:textId="49CEBB85" w:rsidR="004A06F3" w:rsidRPr="00F512D5" w:rsidRDefault="004A06F3" w:rsidP="00BC52AC">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D4- K3</w:t>
            </w:r>
          </w:p>
        </w:tc>
        <w:tc>
          <w:tcPr>
            <w:tcW w:w="919" w:type="dxa"/>
          </w:tcPr>
          <w:p w14:paraId="414CCC2B" w14:textId="6D390129" w:rsidR="004A06F3" w:rsidRPr="00F512D5" w:rsidRDefault="00515AAF" w:rsidP="00BC52AC">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D1-K1, S1,2,3 A1</w:t>
            </w:r>
          </w:p>
        </w:tc>
      </w:tr>
      <w:bookmarkEnd w:id="2"/>
      <w:tr w:rsidR="004A06F3" w:rsidRPr="00F512D5" w14:paraId="19B5F407" w14:textId="3A416CEE" w:rsidTr="004A06F3">
        <w:tc>
          <w:tcPr>
            <w:tcW w:w="3390" w:type="dxa"/>
          </w:tcPr>
          <w:p w14:paraId="2A6FAFBF" w14:textId="77777777" w:rsidR="004A06F3" w:rsidRPr="00F512D5" w:rsidRDefault="004A06F3" w:rsidP="00BC52AC">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Gain an understanding of the importance of screening for spondyloarthritis in musculoskeletal clinical assessments. </w:t>
            </w:r>
          </w:p>
        </w:tc>
        <w:tc>
          <w:tcPr>
            <w:tcW w:w="1807" w:type="dxa"/>
          </w:tcPr>
          <w:p w14:paraId="7EA8B592" w14:textId="77777777" w:rsidR="004A06F3" w:rsidRPr="00F512D5" w:rsidRDefault="004A06F3" w:rsidP="00F512D5">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Interactive Lectures</w:t>
            </w:r>
          </w:p>
          <w:p w14:paraId="151AFC9D" w14:textId="77777777" w:rsidR="004A06F3" w:rsidRPr="00F512D5" w:rsidRDefault="004A06F3" w:rsidP="00F512D5">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 xml:space="preserve">Pre-course reading and resource materials </w:t>
            </w:r>
          </w:p>
          <w:p w14:paraId="373F7769" w14:textId="2A638EFE" w:rsidR="004A06F3" w:rsidRPr="00F512D5" w:rsidRDefault="004A06F3" w:rsidP="00BC52AC">
            <w:pPr>
              <w:numPr>
                <w:ilvl w:val="0"/>
                <w:numId w:val="1"/>
              </w:numPr>
              <w:spacing w:before="84" w:line="276" w:lineRule="auto"/>
              <w:ind w:left="480"/>
              <w:rPr>
                <w:rFonts w:cs="Arial"/>
                <w:color w:val="0D161B"/>
                <w:sz w:val="18"/>
                <w:szCs w:val="18"/>
                <w:lang w:val="en-GB"/>
              </w:rPr>
            </w:pPr>
            <w:r>
              <w:rPr>
                <w:rFonts w:cs="Arial"/>
                <w:color w:val="0D161B"/>
                <w:sz w:val="18"/>
                <w:szCs w:val="18"/>
                <w:lang w:val="en-GB"/>
              </w:rPr>
              <w:t xml:space="preserve">Reflective learning with pre- &amp; post knowledge evaluation </w:t>
            </w:r>
          </w:p>
        </w:tc>
        <w:tc>
          <w:tcPr>
            <w:tcW w:w="1361" w:type="dxa"/>
          </w:tcPr>
          <w:p w14:paraId="0C0EE6DE" w14:textId="05B5EE37" w:rsidR="004A06F3" w:rsidRPr="00F512D5" w:rsidRDefault="004A06F3" w:rsidP="00BC52AC">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B3, B4, B5</w:t>
            </w:r>
          </w:p>
        </w:tc>
        <w:tc>
          <w:tcPr>
            <w:tcW w:w="1539" w:type="dxa"/>
          </w:tcPr>
          <w:p w14:paraId="2DE20E36" w14:textId="039E2721" w:rsidR="004A06F3" w:rsidRPr="00F512D5" w:rsidRDefault="004A06F3" w:rsidP="00BC52AC">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D2, D6, K5, K1, K11</w:t>
            </w:r>
          </w:p>
        </w:tc>
        <w:tc>
          <w:tcPr>
            <w:tcW w:w="919" w:type="dxa"/>
          </w:tcPr>
          <w:p w14:paraId="2A93EECC" w14:textId="77777777" w:rsidR="004A06F3" w:rsidRDefault="00FD6E2A" w:rsidP="00BC52AC">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D1-K1, S3</w:t>
            </w:r>
          </w:p>
          <w:p w14:paraId="7AFCC218" w14:textId="41BAC8C4" w:rsidR="00FD6E2A" w:rsidRDefault="00FD6E2A" w:rsidP="00BC52AC">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D5-K8, K9</w:t>
            </w:r>
          </w:p>
        </w:tc>
      </w:tr>
      <w:tr w:rsidR="004A06F3" w:rsidRPr="00F512D5" w14:paraId="0B395DBB" w14:textId="4DAF188A" w:rsidTr="004A06F3">
        <w:tc>
          <w:tcPr>
            <w:tcW w:w="3390" w:type="dxa"/>
          </w:tcPr>
          <w:p w14:paraId="745F6883" w14:textId="77777777" w:rsidR="004A06F3" w:rsidRPr="00F512D5" w:rsidRDefault="004A06F3" w:rsidP="0069549F">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Develop knowledge of the clinical signs, symptoms and risk factors which increase suspicion of axial and peripheral spondyloarthritis.</w:t>
            </w:r>
          </w:p>
        </w:tc>
        <w:tc>
          <w:tcPr>
            <w:tcW w:w="1807" w:type="dxa"/>
          </w:tcPr>
          <w:p w14:paraId="092F37D1" w14:textId="77777777" w:rsidR="004A06F3" w:rsidRDefault="004A06F3" w:rsidP="0069549F">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Clinical reasoning through vignette cases</w:t>
            </w:r>
          </w:p>
          <w:p w14:paraId="44F8954A" w14:textId="5037F98C" w:rsidR="004A06F3" w:rsidRPr="00F512D5" w:rsidRDefault="004A06F3" w:rsidP="0069549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 xml:space="preserve">Group </w:t>
            </w:r>
            <w:r w:rsidRPr="00F512D5">
              <w:rPr>
                <w:rFonts w:cs="Arial"/>
                <w:color w:val="0D161B"/>
                <w:sz w:val="18"/>
                <w:szCs w:val="18"/>
                <w:lang w:val="en-GB"/>
              </w:rPr>
              <w:t>knowledge quizzes</w:t>
            </w:r>
            <w:r>
              <w:rPr>
                <w:rFonts w:cs="Arial"/>
                <w:color w:val="0D161B"/>
                <w:sz w:val="18"/>
                <w:szCs w:val="18"/>
                <w:lang w:val="en-GB"/>
              </w:rPr>
              <w:t xml:space="preserve"> and </w:t>
            </w:r>
            <w:proofErr w:type="spellStart"/>
            <w:r>
              <w:rPr>
                <w:rFonts w:cs="Arial"/>
                <w:color w:val="0D161B"/>
                <w:sz w:val="18"/>
                <w:szCs w:val="18"/>
                <w:lang w:val="en-GB"/>
              </w:rPr>
              <w:t>discussionss</w:t>
            </w:r>
            <w:proofErr w:type="spellEnd"/>
          </w:p>
          <w:p w14:paraId="0F841C71" w14:textId="77777777" w:rsidR="004A06F3" w:rsidRPr="00F512D5" w:rsidRDefault="004A06F3" w:rsidP="0069549F">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 xml:space="preserve">Pre-course reading and resource materials </w:t>
            </w:r>
          </w:p>
          <w:p w14:paraId="36231393" w14:textId="5A43C562" w:rsidR="004A06F3" w:rsidRPr="00F512D5" w:rsidRDefault="004A06F3" w:rsidP="0069549F">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Peer learning through questions, group activities and discussion</w:t>
            </w:r>
          </w:p>
        </w:tc>
        <w:tc>
          <w:tcPr>
            <w:tcW w:w="1361" w:type="dxa"/>
          </w:tcPr>
          <w:p w14:paraId="622BC7BB" w14:textId="73E77323" w:rsidR="004A06F3" w:rsidRPr="00F512D5" w:rsidRDefault="004A06F3" w:rsidP="0069549F">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B3, B4, B5</w:t>
            </w:r>
          </w:p>
        </w:tc>
        <w:tc>
          <w:tcPr>
            <w:tcW w:w="1539" w:type="dxa"/>
          </w:tcPr>
          <w:p w14:paraId="1138F7D5" w14:textId="77777777" w:rsidR="004A06F3" w:rsidRPr="00F512D5" w:rsidRDefault="004A06F3" w:rsidP="0069549F">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 xml:space="preserve">D2, D5, D6, D8, </w:t>
            </w:r>
          </w:p>
          <w:p w14:paraId="7C159D1D" w14:textId="77777777" w:rsidR="004A06F3" w:rsidRDefault="004A06F3" w:rsidP="0069549F">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K1, K2, K3, K4, K5, K7</w:t>
            </w:r>
          </w:p>
          <w:p w14:paraId="681C9EA7" w14:textId="0F59D6D9" w:rsidR="004E1934" w:rsidRPr="00F512D5" w:rsidRDefault="004E1934" w:rsidP="0069549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D9-S1, A2</w:t>
            </w:r>
          </w:p>
        </w:tc>
        <w:tc>
          <w:tcPr>
            <w:tcW w:w="919" w:type="dxa"/>
          </w:tcPr>
          <w:p w14:paraId="514D4FDB" w14:textId="22171833" w:rsidR="004A06F3" w:rsidRPr="00F512D5" w:rsidRDefault="004A06F3" w:rsidP="0069549F">
            <w:pPr>
              <w:numPr>
                <w:ilvl w:val="0"/>
                <w:numId w:val="1"/>
              </w:numPr>
              <w:spacing w:before="84" w:line="276" w:lineRule="auto"/>
              <w:ind w:left="480"/>
              <w:rPr>
                <w:rFonts w:cs="Arial"/>
                <w:color w:val="0D161B"/>
                <w:sz w:val="18"/>
                <w:szCs w:val="18"/>
                <w:lang w:val="en-GB"/>
              </w:rPr>
            </w:pPr>
          </w:p>
        </w:tc>
      </w:tr>
      <w:tr w:rsidR="004A06F3" w:rsidRPr="00F512D5" w14:paraId="1435A39C" w14:textId="1DFD69B7" w:rsidTr="004A06F3">
        <w:tc>
          <w:tcPr>
            <w:tcW w:w="3390" w:type="dxa"/>
          </w:tcPr>
          <w:p w14:paraId="32CD9764" w14:textId="77777777" w:rsidR="004A06F3" w:rsidRPr="00F512D5" w:rsidRDefault="004A06F3" w:rsidP="0069549F">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Gain knowledge and skills in screening for axial and peripheral spondyloarthritis in a clinical examination.</w:t>
            </w:r>
          </w:p>
        </w:tc>
        <w:tc>
          <w:tcPr>
            <w:tcW w:w="1807" w:type="dxa"/>
          </w:tcPr>
          <w:p w14:paraId="22581D41" w14:textId="77777777" w:rsidR="004A06F3" w:rsidRPr="00F512D5" w:rsidRDefault="004A06F3" w:rsidP="0069549F">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Clinical reasoning through vignette cases and knowledge quizzes</w:t>
            </w:r>
          </w:p>
          <w:p w14:paraId="29670C60" w14:textId="77777777" w:rsidR="004A06F3" w:rsidRPr="00F512D5" w:rsidRDefault="004A06F3" w:rsidP="0069549F">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 xml:space="preserve">Pre-course reading and resource materials </w:t>
            </w:r>
          </w:p>
          <w:p w14:paraId="37376A04" w14:textId="71527678" w:rsidR="004A06F3" w:rsidRPr="00F512D5" w:rsidRDefault="004A06F3" w:rsidP="0069549F">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Peer learning through questions, group activities and discussion</w:t>
            </w:r>
          </w:p>
        </w:tc>
        <w:tc>
          <w:tcPr>
            <w:tcW w:w="1361" w:type="dxa"/>
          </w:tcPr>
          <w:p w14:paraId="6BFA01FC" w14:textId="057B426E" w:rsidR="004A06F3" w:rsidRPr="00F512D5" w:rsidRDefault="004A06F3" w:rsidP="0069549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A1, B3, B4, B5</w:t>
            </w:r>
          </w:p>
        </w:tc>
        <w:tc>
          <w:tcPr>
            <w:tcW w:w="1539" w:type="dxa"/>
          </w:tcPr>
          <w:p w14:paraId="662C9767" w14:textId="77777777" w:rsidR="004A06F3" w:rsidRDefault="004A06F3" w:rsidP="0069549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D3, D5, D</w:t>
            </w:r>
            <w:proofErr w:type="gramStart"/>
            <w:r>
              <w:rPr>
                <w:rFonts w:cs="Arial"/>
                <w:color w:val="0D161B"/>
                <w:sz w:val="18"/>
                <w:szCs w:val="18"/>
                <w:lang w:val="en-GB"/>
              </w:rPr>
              <w:t>6,D</w:t>
            </w:r>
            <w:proofErr w:type="gramEnd"/>
            <w:r>
              <w:rPr>
                <w:rFonts w:cs="Arial"/>
                <w:color w:val="0D161B"/>
                <w:sz w:val="18"/>
                <w:szCs w:val="18"/>
                <w:lang w:val="en-GB"/>
              </w:rPr>
              <w:t>7, K3, S1, S9</w:t>
            </w:r>
          </w:p>
          <w:p w14:paraId="591E10F0" w14:textId="65ABC7B9" w:rsidR="004A06F3" w:rsidRPr="00F512D5" w:rsidRDefault="004A06F3" w:rsidP="0069549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D6-S3</w:t>
            </w:r>
          </w:p>
        </w:tc>
        <w:tc>
          <w:tcPr>
            <w:tcW w:w="919" w:type="dxa"/>
          </w:tcPr>
          <w:p w14:paraId="6EBEF09A" w14:textId="77777777" w:rsidR="004A06F3" w:rsidRDefault="00515AAF" w:rsidP="0069549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D1-K1, S1,2,3 A1</w:t>
            </w:r>
          </w:p>
          <w:p w14:paraId="27256E02" w14:textId="77777777" w:rsidR="00515AAF" w:rsidRDefault="00515AAF" w:rsidP="0069549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D2- K</w:t>
            </w:r>
            <w:proofErr w:type="gramStart"/>
            <w:r>
              <w:rPr>
                <w:rFonts w:cs="Arial"/>
                <w:color w:val="0D161B"/>
                <w:sz w:val="18"/>
                <w:szCs w:val="18"/>
                <w:lang w:val="en-GB"/>
              </w:rPr>
              <w:t>1,K2</w:t>
            </w:r>
            <w:proofErr w:type="gramEnd"/>
            <w:r>
              <w:rPr>
                <w:rFonts w:cs="Arial"/>
                <w:color w:val="0D161B"/>
                <w:sz w:val="18"/>
                <w:szCs w:val="18"/>
                <w:lang w:val="en-GB"/>
              </w:rPr>
              <w:t>,K5, K7, K8, K9</w:t>
            </w:r>
          </w:p>
          <w:p w14:paraId="01ABAAA2" w14:textId="35B4CBC3" w:rsidR="008726CD" w:rsidRDefault="008726CD" w:rsidP="0069549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D3-K1, K3, K4</w:t>
            </w:r>
            <w:r w:rsidR="00796DB0">
              <w:rPr>
                <w:rFonts w:cs="Arial"/>
                <w:color w:val="0D161B"/>
                <w:sz w:val="18"/>
                <w:szCs w:val="18"/>
                <w:lang w:val="en-GB"/>
              </w:rPr>
              <w:t>, S2, A1</w:t>
            </w:r>
          </w:p>
          <w:p w14:paraId="73F9D965" w14:textId="6EB03B99" w:rsidR="00FD6E2A" w:rsidRDefault="00FD6E2A" w:rsidP="0069549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D5- K8, K9</w:t>
            </w:r>
          </w:p>
          <w:p w14:paraId="1DCD4D33" w14:textId="57BBB082" w:rsidR="004E1934" w:rsidRDefault="004E1934" w:rsidP="0069549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 xml:space="preserve">D10-K2, K3, K5, </w:t>
            </w:r>
            <w:r w:rsidR="00FD6E2A">
              <w:rPr>
                <w:rFonts w:cs="Arial"/>
                <w:color w:val="0D161B"/>
                <w:sz w:val="18"/>
                <w:szCs w:val="18"/>
                <w:lang w:val="en-GB"/>
              </w:rPr>
              <w:t>S5</w:t>
            </w:r>
          </w:p>
        </w:tc>
      </w:tr>
      <w:tr w:rsidR="004A06F3" w:rsidRPr="00F512D5" w14:paraId="6615886C" w14:textId="68176E73" w:rsidTr="004A06F3">
        <w:tc>
          <w:tcPr>
            <w:tcW w:w="3390" w:type="dxa"/>
          </w:tcPr>
          <w:p w14:paraId="68D247B3" w14:textId="77777777" w:rsidR="004A06F3" w:rsidRPr="00F512D5" w:rsidRDefault="004A06F3" w:rsidP="0069549F">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Develop an understanding of the recommendations of NICE Guidance on Spondyloarthritis on when to refer to rheumatology and discussion on how to undertake referrals.</w:t>
            </w:r>
          </w:p>
        </w:tc>
        <w:tc>
          <w:tcPr>
            <w:tcW w:w="1807" w:type="dxa"/>
          </w:tcPr>
          <w:p w14:paraId="1C072768" w14:textId="77777777" w:rsidR="004A06F3" w:rsidRDefault="004A06F3" w:rsidP="001952A0">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Clinical reasoning through vignette cases</w:t>
            </w:r>
          </w:p>
          <w:p w14:paraId="597F8663" w14:textId="54035B84" w:rsidR="004A06F3" w:rsidRPr="00F512D5" w:rsidRDefault="004A06F3" w:rsidP="001952A0">
            <w:pPr>
              <w:numPr>
                <w:ilvl w:val="0"/>
                <w:numId w:val="1"/>
              </w:numPr>
              <w:spacing w:before="84" w:line="276" w:lineRule="auto"/>
              <w:ind w:left="480"/>
              <w:rPr>
                <w:rFonts w:cs="Arial"/>
                <w:color w:val="0D161B"/>
                <w:sz w:val="18"/>
                <w:szCs w:val="18"/>
                <w:lang w:val="en-GB"/>
              </w:rPr>
            </w:pPr>
            <w:r>
              <w:rPr>
                <w:rFonts w:cs="Arial"/>
                <w:color w:val="0D161B"/>
                <w:sz w:val="18"/>
                <w:szCs w:val="18"/>
                <w:lang w:val="en-GB"/>
              </w:rPr>
              <w:t xml:space="preserve">Group </w:t>
            </w:r>
            <w:r w:rsidRPr="00F512D5">
              <w:rPr>
                <w:rFonts w:cs="Arial"/>
                <w:color w:val="0D161B"/>
                <w:sz w:val="18"/>
                <w:szCs w:val="18"/>
                <w:lang w:val="en-GB"/>
              </w:rPr>
              <w:t>knowledge quizzes</w:t>
            </w:r>
            <w:r>
              <w:rPr>
                <w:rFonts w:cs="Arial"/>
                <w:color w:val="0D161B"/>
                <w:sz w:val="18"/>
                <w:szCs w:val="18"/>
                <w:lang w:val="en-GB"/>
              </w:rPr>
              <w:t xml:space="preserve"> and discussions</w:t>
            </w:r>
          </w:p>
          <w:p w14:paraId="0C537A5B" w14:textId="77777777" w:rsidR="004A06F3" w:rsidRPr="00F512D5" w:rsidRDefault="004A06F3" w:rsidP="001952A0">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 xml:space="preserve">Pre-course reading and resource materials </w:t>
            </w:r>
          </w:p>
          <w:p w14:paraId="46CE5B8F" w14:textId="7989A83B" w:rsidR="004A06F3" w:rsidRPr="00F512D5" w:rsidRDefault="004A06F3" w:rsidP="001952A0">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Peer learning through questions, group activities and discussion</w:t>
            </w:r>
          </w:p>
        </w:tc>
        <w:tc>
          <w:tcPr>
            <w:tcW w:w="1361" w:type="dxa"/>
          </w:tcPr>
          <w:p w14:paraId="1B10800E" w14:textId="18D4257B" w:rsidR="004A06F3" w:rsidRPr="00F512D5" w:rsidRDefault="004A06F3" w:rsidP="0069549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B3, B4, B5</w:t>
            </w:r>
          </w:p>
        </w:tc>
        <w:tc>
          <w:tcPr>
            <w:tcW w:w="1539" w:type="dxa"/>
          </w:tcPr>
          <w:p w14:paraId="59594BC0" w14:textId="5ABC411D" w:rsidR="004A06F3" w:rsidRPr="00F512D5" w:rsidRDefault="004A06F3" w:rsidP="0069549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D2, D5, D</w:t>
            </w:r>
            <w:proofErr w:type="gramStart"/>
            <w:r>
              <w:rPr>
                <w:rFonts w:cs="Arial"/>
                <w:color w:val="0D161B"/>
                <w:sz w:val="18"/>
                <w:szCs w:val="18"/>
                <w:lang w:val="en-GB"/>
              </w:rPr>
              <w:t>6,  D</w:t>
            </w:r>
            <w:proofErr w:type="gramEnd"/>
            <w:r>
              <w:rPr>
                <w:rFonts w:cs="Arial"/>
                <w:color w:val="0D161B"/>
                <w:sz w:val="18"/>
                <w:szCs w:val="18"/>
                <w:lang w:val="en-GB"/>
              </w:rPr>
              <w:t>10, K</w:t>
            </w:r>
            <w:proofErr w:type="gramStart"/>
            <w:r>
              <w:rPr>
                <w:rFonts w:cs="Arial"/>
                <w:color w:val="0D161B"/>
                <w:sz w:val="18"/>
                <w:szCs w:val="18"/>
                <w:lang w:val="en-GB"/>
              </w:rPr>
              <w:t>5,  K</w:t>
            </w:r>
            <w:proofErr w:type="gramEnd"/>
            <w:r>
              <w:rPr>
                <w:rFonts w:cs="Arial"/>
                <w:color w:val="0D161B"/>
                <w:sz w:val="18"/>
                <w:szCs w:val="18"/>
                <w:lang w:val="en-GB"/>
              </w:rPr>
              <w:t xml:space="preserve">9 </w:t>
            </w:r>
          </w:p>
        </w:tc>
        <w:tc>
          <w:tcPr>
            <w:tcW w:w="919" w:type="dxa"/>
          </w:tcPr>
          <w:p w14:paraId="24DA7CCA" w14:textId="77777777" w:rsidR="00796DB0" w:rsidRDefault="00515AAF" w:rsidP="00796DB0">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D2- S1, S3</w:t>
            </w:r>
            <w:r w:rsidR="00796DB0">
              <w:rPr>
                <w:rFonts w:cs="Arial"/>
                <w:color w:val="0D161B"/>
                <w:sz w:val="18"/>
                <w:szCs w:val="18"/>
                <w:lang w:val="en-GB"/>
              </w:rPr>
              <w:t xml:space="preserve">, </w:t>
            </w:r>
            <w:r w:rsidRPr="00796DB0">
              <w:rPr>
                <w:rFonts w:cs="Arial"/>
                <w:color w:val="0D161B"/>
                <w:sz w:val="18"/>
                <w:szCs w:val="18"/>
                <w:lang w:val="en-GB"/>
              </w:rPr>
              <w:t>A1, A2, A3</w:t>
            </w:r>
          </w:p>
          <w:p w14:paraId="20F560F1" w14:textId="77777777" w:rsidR="00515AAF" w:rsidRDefault="00515AAF" w:rsidP="00796DB0">
            <w:pPr>
              <w:numPr>
                <w:ilvl w:val="0"/>
                <w:numId w:val="1"/>
              </w:numPr>
              <w:spacing w:before="84" w:line="276" w:lineRule="auto"/>
              <w:ind w:left="480"/>
              <w:rPr>
                <w:rFonts w:cs="Arial"/>
                <w:color w:val="0D161B"/>
                <w:sz w:val="18"/>
                <w:szCs w:val="18"/>
                <w:lang w:val="en-GB"/>
              </w:rPr>
            </w:pPr>
            <w:r w:rsidRPr="00796DB0">
              <w:rPr>
                <w:rFonts w:cs="Arial"/>
                <w:color w:val="0D161B"/>
                <w:sz w:val="18"/>
                <w:szCs w:val="18"/>
                <w:lang w:val="en-GB"/>
              </w:rPr>
              <w:t>D3</w:t>
            </w:r>
          </w:p>
          <w:p w14:paraId="717B65F7" w14:textId="77777777" w:rsidR="00796DB0" w:rsidRDefault="00796DB0" w:rsidP="00796DB0">
            <w:pPr>
              <w:numPr>
                <w:ilvl w:val="0"/>
                <w:numId w:val="1"/>
              </w:numPr>
              <w:spacing w:before="84" w:line="276" w:lineRule="auto"/>
              <w:ind w:left="480"/>
              <w:rPr>
                <w:rFonts w:cs="Arial"/>
                <w:color w:val="0D161B"/>
                <w:sz w:val="18"/>
                <w:szCs w:val="18"/>
                <w:lang w:val="en-GB"/>
              </w:rPr>
            </w:pPr>
            <w:r>
              <w:rPr>
                <w:rFonts w:cs="Arial"/>
                <w:color w:val="0D161B"/>
                <w:sz w:val="18"/>
                <w:szCs w:val="18"/>
                <w:lang w:val="en-GB"/>
              </w:rPr>
              <w:t xml:space="preserve">D4-K4, </w:t>
            </w:r>
          </w:p>
          <w:p w14:paraId="0244B8B0" w14:textId="77777777" w:rsidR="00C170BF" w:rsidRDefault="00C170BF" w:rsidP="00796DB0">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D7- K</w:t>
            </w:r>
            <w:proofErr w:type="gramStart"/>
            <w:r>
              <w:rPr>
                <w:rFonts w:cs="Arial"/>
                <w:color w:val="0D161B"/>
                <w:sz w:val="18"/>
                <w:szCs w:val="18"/>
                <w:lang w:val="en-GB"/>
              </w:rPr>
              <w:t>3,K</w:t>
            </w:r>
            <w:proofErr w:type="gramEnd"/>
            <w:r>
              <w:rPr>
                <w:rFonts w:cs="Arial"/>
                <w:color w:val="0D161B"/>
                <w:sz w:val="18"/>
                <w:szCs w:val="18"/>
                <w:lang w:val="en-GB"/>
              </w:rPr>
              <w:t>4</w:t>
            </w:r>
          </w:p>
          <w:p w14:paraId="29A82BC7" w14:textId="77777777" w:rsidR="00C170BF" w:rsidRDefault="00C170BF" w:rsidP="00796DB0">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D8</w:t>
            </w:r>
            <w:r w:rsidR="004E1934">
              <w:rPr>
                <w:rFonts w:cs="Arial"/>
                <w:color w:val="0D161B"/>
                <w:sz w:val="18"/>
                <w:szCs w:val="18"/>
                <w:lang w:val="en-GB"/>
              </w:rPr>
              <w:t>-</w:t>
            </w:r>
            <w:r>
              <w:rPr>
                <w:rFonts w:cs="Arial"/>
                <w:color w:val="0D161B"/>
                <w:sz w:val="18"/>
                <w:szCs w:val="18"/>
                <w:lang w:val="en-GB"/>
              </w:rPr>
              <w:t>K4</w:t>
            </w:r>
          </w:p>
          <w:p w14:paraId="65F51235" w14:textId="0E1B3C5C" w:rsidR="004E1934" w:rsidRPr="00796DB0" w:rsidRDefault="004E1934" w:rsidP="00796DB0">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D10-S3</w:t>
            </w:r>
            <w:r w:rsidR="00FD6E2A">
              <w:rPr>
                <w:rFonts w:cs="Arial"/>
                <w:color w:val="0D161B"/>
                <w:sz w:val="18"/>
                <w:szCs w:val="18"/>
                <w:lang w:val="en-GB"/>
              </w:rPr>
              <w:t xml:space="preserve">, </w:t>
            </w:r>
          </w:p>
        </w:tc>
      </w:tr>
      <w:tr w:rsidR="004A06F3" w:rsidRPr="00F512D5" w14:paraId="4D99FA04" w14:textId="05C872B2" w:rsidTr="004A06F3">
        <w:tc>
          <w:tcPr>
            <w:tcW w:w="3390" w:type="dxa"/>
          </w:tcPr>
          <w:p w14:paraId="631F94BD" w14:textId="77777777" w:rsidR="004A06F3" w:rsidRPr="00F512D5" w:rsidRDefault="004A06F3" w:rsidP="0069549F">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Develop an understanding of the role of blood tests and imaging in suspected axial and peripheral spondyloarthritis.</w:t>
            </w:r>
          </w:p>
        </w:tc>
        <w:tc>
          <w:tcPr>
            <w:tcW w:w="1807" w:type="dxa"/>
          </w:tcPr>
          <w:p w14:paraId="277078CB" w14:textId="77777777" w:rsidR="004A06F3" w:rsidRDefault="004A06F3" w:rsidP="001952A0">
            <w:pPr>
              <w:numPr>
                <w:ilvl w:val="0"/>
                <w:numId w:val="1"/>
              </w:numPr>
              <w:spacing w:before="84" w:line="276" w:lineRule="auto"/>
              <w:ind w:left="480"/>
              <w:rPr>
                <w:rFonts w:cs="Arial"/>
                <w:color w:val="0D161B"/>
                <w:sz w:val="18"/>
                <w:szCs w:val="18"/>
                <w:lang w:val="en-GB"/>
              </w:rPr>
            </w:pPr>
            <w:r>
              <w:rPr>
                <w:rFonts w:cs="Arial"/>
                <w:color w:val="0D161B"/>
                <w:sz w:val="18"/>
                <w:szCs w:val="18"/>
                <w:lang w:val="en-GB"/>
              </w:rPr>
              <w:t>Interactive lectures</w:t>
            </w:r>
          </w:p>
          <w:p w14:paraId="46DD1DE8" w14:textId="30722E8C" w:rsidR="004A06F3" w:rsidRDefault="004A06F3" w:rsidP="001952A0">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Clinical reasoning through vignette cases</w:t>
            </w:r>
          </w:p>
          <w:p w14:paraId="2BD139B4" w14:textId="7C4DE97D" w:rsidR="004A06F3" w:rsidRPr="00F512D5" w:rsidRDefault="004A06F3" w:rsidP="001952A0">
            <w:pPr>
              <w:numPr>
                <w:ilvl w:val="0"/>
                <w:numId w:val="1"/>
              </w:numPr>
              <w:spacing w:before="84" w:line="276" w:lineRule="auto"/>
              <w:ind w:left="480"/>
              <w:rPr>
                <w:rFonts w:cs="Arial"/>
                <w:color w:val="0D161B"/>
                <w:sz w:val="18"/>
                <w:szCs w:val="18"/>
                <w:lang w:val="en-GB"/>
              </w:rPr>
            </w:pPr>
            <w:r>
              <w:rPr>
                <w:rFonts w:cs="Arial"/>
                <w:color w:val="0D161B"/>
                <w:sz w:val="18"/>
                <w:szCs w:val="18"/>
                <w:lang w:val="en-GB"/>
              </w:rPr>
              <w:t xml:space="preserve">Group </w:t>
            </w:r>
            <w:r w:rsidRPr="00F512D5">
              <w:rPr>
                <w:rFonts w:cs="Arial"/>
                <w:color w:val="0D161B"/>
                <w:sz w:val="18"/>
                <w:szCs w:val="18"/>
                <w:lang w:val="en-GB"/>
              </w:rPr>
              <w:t>knowledge quizzes</w:t>
            </w:r>
            <w:r>
              <w:rPr>
                <w:rFonts w:cs="Arial"/>
                <w:color w:val="0D161B"/>
                <w:sz w:val="18"/>
                <w:szCs w:val="18"/>
                <w:lang w:val="en-GB"/>
              </w:rPr>
              <w:t xml:space="preserve"> and discussions</w:t>
            </w:r>
          </w:p>
          <w:p w14:paraId="149F81DD" w14:textId="77777777" w:rsidR="004A06F3" w:rsidRPr="00F512D5" w:rsidRDefault="004A06F3" w:rsidP="001952A0">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 xml:space="preserve">Pre-course reading and resource materials </w:t>
            </w:r>
          </w:p>
          <w:p w14:paraId="61636BD0" w14:textId="4645BC19" w:rsidR="004A06F3" w:rsidRPr="00F512D5" w:rsidRDefault="004A06F3" w:rsidP="001952A0">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Peer learning through questions, group activities and discussion</w:t>
            </w:r>
          </w:p>
        </w:tc>
        <w:tc>
          <w:tcPr>
            <w:tcW w:w="1361" w:type="dxa"/>
          </w:tcPr>
          <w:p w14:paraId="101C838A" w14:textId="499A262B" w:rsidR="004A06F3" w:rsidRPr="00F512D5" w:rsidRDefault="004A06F3" w:rsidP="0069549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B3, B4, B5</w:t>
            </w:r>
          </w:p>
        </w:tc>
        <w:tc>
          <w:tcPr>
            <w:tcW w:w="1539" w:type="dxa"/>
          </w:tcPr>
          <w:p w14:paraId="6B871126" w14:textId="77777777" w:rsidR="004A06F3" w:rsidRDefault="004A06F3" w:rsidP="0069549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D2, D4, D5, K3, K5, K9</w:t>
            </w:r>
          </w:p>
          <w:p w14:paraId="3298B306" w14:textId="72FC81AD" w:rsidR="004A06F3" w:rsidRPr="00F512D5" w:rsidRDefault="004A06F3" w:rsidP="0069549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D5-K9</w:t>
            </w:r>
          </w:p>
        </w:tc>
        <w:tc>
          <w:tcPr>
            <w:tcW w:w="919" w:type="dxa"/>
          </w:tcPr>
          <w:p w14:paraId="51E6A449" w14:textId="77777777" w:rsidR="004A06F3" w:rsidRDefault="008726CD" w:rsidP="0069549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D1-K1, S1, S3</w:t>
            </w:r>
          </w:p>
          <w:p w14:paraId="75E4B84E" w14:textId="01E4DB10" w:rsidR="00FD6E2A" w:rsidRDefault="00FD6E2A" w:rsidP="0069549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D5-K8, K9</w:t>
            </w:r>
          </w:p>
        </w:tc>
      </w:tr>
      <w:tr w:rsidR="004A06F3" w:rsidRPr="00F512D5" w14:paraId="0EAF697E" w14:textId="627F7787" w:rsidTr="004A06F3">
        <w:tc>
          <w:tcPr>
            <w:tcW w:w="3390" w:type="dxa"/>
          </w:tcPr>
          <w:p w14:paraId="27193FC0" w14:textId="03606ECD" w:rsidR="004A06F3" w:rsidRPr="00C170BF" w:rsidRDefault="004A06F3" w:rsidP="00C170BF">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Gain practical skills in history taking and clinical examination for suspected spondyloarthritis and associated extra</w:t>
            </w:r>
            <w:r w:rsidR="00C170BF">
              <w:rPr>
                <w:rFonts w:cs="Arial"/>
                <w:color w:val="0D161B"/>
                <w:sz w:val="18"/>
                <w:szCs w:val="18"/>
                <w:lang w:val="en-GB"/>
              </w:rPr>
              <w:t>-</w:t>
            </w:r>
            <w:r w:rsidRPr="00C170BF">
              <w:rPr>
                <w:rFonts w:cs="Arial"/>
                <w:color w:val="0D161B"/>
                <w:sz w:val="18"/>
                <w:szCs w:val="18"/>
                <w:lang w:val="en-GB"/>
              </w:rPr>
              <w:t>articular manifestations, including skin and nail examination for psoriasis.</w:t>
            </w:r>
          </w:p>
        </w:tc>
        <w:tc>
          <w:tcPr>
            <w:tcW w:w="1807" w:type="dxa"/>
          </w:tcPr>
          <w:p w14:paraId="7314772E" w14:textId="77777777" w:rsidR="004A06F3" w:rsidRDefault="004A06F3" w:rsidP="001952A0">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Clinical reasoning through vignette cases</w:t>
            </w:r>
          </w:p>
          <w:p w14:paraId="165CC450" w14:textId="77777777" w:rsidR="004A06F3" w:rsidRDefault="004A06F3" w:rsidP="001952A0">
            <w:pPr>
              <w:numPr>
                <w:ilvl w:val="0"/>
                <w:numId w:val="1"/>
              </w:numPr>
              <w:spacing w:before="84" w:line="276" w:lineRule="auto"/>
              <w:ind w:left="480"/>
              <w:rPr>
                <w:rFonts w:cs="Arial"/>
                <w:color w:val="0D161B"/>
                <w:sz w:val="18"/>
                <w:szCs w:val="18"/>
                <w:lang w:val="en-GB"/>
              </w:rPr>
            </w:pPr>
            <w:r>
              <w:rPr>
                <w:rFonts w:cs="Arial"/>
                <w:color w:val="0D161B"/>
                <w:sz w:val="18"/>
                <w:szCs w:val="18"/>
                <w:lang w:val="en-GB"/>
              </w:rPr>
              <w:t xml:space="preserve">Group practical activities </w:t>
            </w:r>
          </w:p>
          <w:p w14:paraId="732D1A11" w14:textId="58BE44A8" w:rsidR="004A06F3" w:rsidRPr="00F512D5" w:rsidRDefault="004A06F3" w:rsidP="001952A0">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knowledge quizzes</w:t>
            </w:r>
            <w:r>
              <w:rPr>
                <w:rFonts w:cs="Arial"/>
                <w:color w:val="0D161B"/>
                <w:sz w:val="18"/>
                <w:szCs w:val="18"/>
                <w:lang w:val="en-GB"/>
              </w:rPr>
              <w:t xml:space="preserve"> and discussions</w:t>
            </w:r>
          </w:p>
          <w:p w14:paraId="244DEFD8" w14:textId="77777777" w:rsidR="004A06F3" w:rsidRPr="00F512D5" w:rsidRDefault="004A06F3" w:rsidP="001952A0">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 xml:space="preserve">Pre-course reading and resource materials </w:t>
            </w:r>
          </w:p>
          <w:p w14:paraId="3A10599A" w14:textId="01D0D8D2" w:rsidR="004A06F3" w:rsidRPr="00F512D5" w:rsidRDefault="004A06F3" w:rsidP="001952A0">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 xml:space="preserve">Peer learning through questions, </w:t>
            </w:r>
            <w:r>
              <w:rPr>
                <w:rFonts w:cs="Arial"/>
                <w:color w:val="0D161B"/>
                <w:sz w:val="18"/>
                <w:szCs w:val="18"/>
                <w:lang w:val="en-GB"/>
              </w:rPr>
              <w:t xml:space="preserve">practice </w:t>
            </w:r>
            <w:r w:rsidRPr="00F512D5">
              <w:rPr>
                <w:rFonts w:cs="Arial"/>
                <w:color w:val="0D161B"/>
                <w:sz w:val="18"/>
                <w:szCs w:val="18"/>
                <w:lang w:val="en-GB"/>
              </w:rPr>
              <w:t>and discussion</w:t>
            </w:r>
          </w:p>
        </w:tc>
        <w:tc>
          <w:tcPr>
            <w:tcW w:w="1361" w:type="dxa"/>
          </w:tcPr>
          <w:p w14:paraId="5C5C77FA" w14:textId="06BE355D" w:rsidR="004A06F3" w:rsidRPr="00F512D5" w:rsidRDefault="004A06F3" w:rsidP="0069549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B3, B4, B5, C6, C7, C12, C13</w:t>
            </w:r>
          </w:p>
        </w:tc>
        <w:tc>
          <w:tcPr>
            <w:tcW w:w="1539" w:type="dxa"/>
          </w:tcPr>
          <w:p w14:paraId="32943E66" w14:textId="77777777" w:rsidR="004A06F3" w:rsidRDefault="004A06F3" w:rsidP="0069549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D3, K4</w:t>
            </w:r>
          </w:p>
          <w:p w14:paraId="4E8D8D14" w14:textId="77777777" w:rsidR="004A06F3" w:rsidRDefault="004A06F3" w:rsidP="0069549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D2-S1</w:t>
            </w:r>
          </w:p>
          <w:p w14:paraId="4603FC48" w14:textId="4CA98020" w:rsidR="004A06F3" w:rsidRDefault="004A06F3" w:rsidP="0069549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D3-S1</w:t>
            </w:r>
          </w:p>
          <w:p w14:paraId="7BA66759" w14:textId="624DA6E7" w:rsidR="004A06F3" w:rsidRPr="00F512D5" w:rsidRDefault="004A06F3" w:rsidP="0069549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D4-S1</w:t>
            </w:r>
          </w:p>
        </w:tc>
        <w:tc>
          <w:tcPr>
            <w:tcW w:w="919" w:type="dxa"/>
          </w:tcPr>
          <w:p w14:paraId="6E188ED5" w14:textId="77777777" w:rsidR="00515AAF" w:rsidRDefault="00515AAF" w:rsidP="00515AA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D1-K1, S1,2,3 A1</w:t>
            </w:r>
          </w:p>
          <w:p w14:paraId="0B0FFB49" w14:textId="77777777" w:rsidR="004A06F3" w:rsidRDefault="00515AAF" w:rsidP="00515AA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D2- K</w:t>
            </w:r>
            <w:proofErr w:type="gramStart"/>
            <w:r>
              <w:rPr>
                <w:rFonts w:cs="Arial"/>
                <w:color w:val="0D161B"/>
                <w:sz w:val="18"/>
                <w:szCs w:val="18"/>
                <w:lang w:val="en-GB"/>
              </w:rPr>
              <w:t>1,K2</w:t>
            </w:r>
            <w:proofErr w:type="gramEnd"/>
            <w:r>
              <w:rPr>
                <w:rFonts w:cs="Arial"/>
                <w:color w:val="0D161B"/>
                <w:sz w:val="18"/>
                <w:szCs w:val="18"/>
                <w:lang w:val="en-GB"/>
              </w:rPr>
              <w:t>,K</w:t>
            </w:r>
            <w:proofErr w:type="gramStart"/>
            <w:r>
              <w:rPr>
                <w:rFonts w:cs="Arial"/>
                <w:color w:val="0D161B"/>
                <w:sz w:val="18"/>
                <w:szCs w:val="18"/>
                <w:lang w:val="en-GB"/>
              </w:rPr>
              <w:t xml:space="preserve">5, </w:t>
            </w:r>
            <w:r w:rsidR="008726CD">
              <w:rPr>
                <w:rFonts w:cs="Arial"/>
                <w:color w:val="0D161B"/>
                <w:sz w:val="18"/>
                <w:szCs w:val="18"/>
                <w:lang w:val="en-GB"/>
              </w:rPr>
              <w:t xml:space="preserve"> K</w:t>
            </w:r>
            <w:proofErr w:type="gramEnd"/>
            <w:r w:rsidR="008726CD">
              <w:rPr>
                <w:rFonts w:cs="Arial"/>
                <w:color w:val="0D161B"/>
                <w:sz w:val="18"/>
                <w:szCs w:val="18"/>
                <w:lang w:val="en-GB"/>
              </w:rPr>
              <w:t>11, K12, K13, S1, S2, S3</w:t>
            </w:r>
          </w:p>
          <w:p w14:paraId="638BF968" w14:textId="41A76AAC" w:rsidR="00796DB0" w:rsidRDefault="00796DB0" w:rsidP="00796DB0">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D5-K2, S1, S2</w:t>
            </w:r>
            <w:r w:rsidR="00C170BF">
              <w:rPr>
                <w:rFonts w:cs="Arial"/>
                <w:color w:val="0D161B"/>
                <w:sz w:val="18"/>
                <w:szCs w:val="18"/>
                <w:lang w:val="en-GB"/>
              </w:rPr>
              <w:t>, A2</w:t>
            </w:r>
          </w:p>
          <w:p w14:paraId="4CD5BD95" w14:textId="77777777" w:rsidR="004954D0" w:rsidRDefault="004954D0" w:rsidP="00796DB0">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D6—K2, K</w:t>
            </w:r>
            <w:proofErr w:type="gramStart"/>
            <w:r>
              <w:rPr>
                <w:rFonts w:cs="Arial"/>
                <w:color w:val="0D161B"/>
                <w:sz w:val="18"/>
                <w:szCs w:val="18"/>
                <w:lang w:val="en-GB"/>
              </w:rPr>
              <w:t>3,K</w:t>
            </w:r>
            <w:proofErr w:type="gramEnd"/>
            <w:r>
              <w:rPr>
                <w:rFonts w:cs="Arial"/>
                <w:color w:val="0D161B"/>
                <w:sz w:val="18"/>
                <w:szCs w:val="18"/>
                <w:lang w:val="en-GB"/>
              </w:rPr>
              <w:t>4, K5</w:t>
            </w:r>
          </w:p>
          <w:p w14:paraId="3D796E0F" w14:textId="77777777" w:rsidR="00C170BF" w:rsidRDefault="00C170BF" w:rsidP="00796DB0">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D8-K1, K3, K4</w:t>
            </w:r>
            <w:r w:rsidR="004E1934">
              <w:rPr>
                <w:rFonts w:cs="Arial"/>
                <w:color w:val="0D161B"/>
                <w:sz w:val="18"/>
                <w:szCs w:val="18"/>
                <w:lang w:val="en-GB"/>
              </w:rPr>
              <w:t>, S2, A1, A2</w:t>
            </w:r>
          </w:p>
          <w:p w14:paraId="4F196529" w14:textId="6CE8E7C3" w:rsidR="004E1934" w:rsidRPr="00796DB0" w:rsidRDefault="004E1934" w:rsidP="00796DB0">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D10 K1</w:t>
            </w:r>
            <w:r w:rsidR="00FD6E2A">
              <w:rPr>
                <w:rFonts w:cs="Arial"/>
                <w:color w:val="0D161B"/>
                <w:sz w:val="18"/>
                <w:szCs w:val="18"/>
                <w:lang w:val="en-GB"/>
              </w:rPr>
              <w:t>, A5</w:t>
            </w:r>
          </w:p>
        </w:tc>
      </w:tr>
      <w:tr w:rsidR="004A06F3" w:rsidRPr="00F512D5" w14:paraId="048FFF10" w14:textId="1C4ABE0C" w:rsidTr="004A06F3">
        <w:tc>
          <w:tcPr>
            <w:tcW w:w="3390" w:type="dxa"/>
          </w:tcPr>
          <w:p w14:paraId="7A6EB7D9" w14:textId="77777777" w:rsidR="004A06F3" w:rsidRPr="00F512D5" w:rsidRDefault="004A06F3" w:rsidP="001952A0">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Be aware of features and develop advanced clinical reasoning skills in the differentiation of mechanical and suspected inflammatory clinical presentations.</w:t>
            </w:r>
          </w:p>
        </w:tc>
        <w:tc>
          <w:tcPr>
            <w:tcW w:w="1807" w:type="dxa"/>
          </w:tcPr>
          <w:p w14:paraId="47A258D8" w14:textId="77777777" w:rsidR="004A06F3" w:rsidRDefault="004A06F3" w:rsidP="001952A0">
            <w:pPr>
              <w:numPr>
                <w:ilvl w:val="0"/>
                <w:numId w:val="1"/>
              </w:numPr>
              <w:spacing w:before="84" w:line="276" w:lineRule="auto"/>
              <w:ind w:left="480"/>
              <w:rPr>
                <w:rFonts w:cs="Arial"/>
                <w:color w:val="0D161B"/>
                <w:sz w:val="18"/>
                <w:szCs w:val="18"/>
                <w:lang w:val="en-GB"/>
              </w:rPr>
            </w:pPr>
            <w:r>
              <w:rPr>
                <w:rFonts w:cs="Arial"/>
                <w:color w:val="0D161B"/>
                <w:sz w:val="18"/>
                <w:szCs w:val="18"/>
                <w:lang w:val="en-GB"/>
              </w:rPr>
              <w:t>Interactive lectures</w:t>
            </w:r>
          </w:p>
          <w:p w14:paraId="3A372C0A" w14:textId="77777777" w:rsidR="004A06F3" w:rsidRDefault="004A06F3" w:rsidP="001952A0">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Clinical reasoning through vignette cases</w:t>
            </w:r>
          </w:p>
          <w:p w14:paraId="71A13FBD" w14:textId="77777777" w:rsidR="004A06F3" w:rsidRPr="00F512D5" w:rsidRDefault="004A06F3" w:rsidP="001952A0">
            <w:pPr>
              <w:numPr>
                <w:ilvl w:val="0"/>
                <w:numId w:val="1"/>
              </w:numPr>
              <w:spacing w:before="84" w:line="276" w:lineRule="auto"/>
              <w:ind w:left="480"/>
              <w:rPr>
                <w:rFonts w:cs="Arial"/>
                <w:color w:val="0D161B"/>
                <w:sz w:val="18"/>
                <w:szCs w:val="18"/>
                <w:lang w:val="en-GB"/>
              </w:rPr>
            </w:pPr>
            <w:r>
              <w:rPr>
                <w:rFonts w:cs="Arial"/>
                <w:color w:val="0D161B"/>
                <w:sz w:val="18"/>
                <w:szCs w:val="18"/>
                <w:lang w:val="en-GB"/>
              </w:rPr>
              <w:t xml:space="preserve">Group </w:t>
            </w:r>
            <w:r w:rsidRPr="00F512D5">
              <w:rPr>
                <w:rFonts w:cs="Arial"/>
                <w:color w:val="0D161B"/>
                <w:sz w:val="18"/>
                <w:szCs w:val="18"/>
                <w:lang w:val="en-GB"/>
              </w:rPr>
              <w:t>knowledge quizzes</w:t>
            </w:r>
            <w:r>
              <w:rPr>
                <w:rFonts w:cs="Arial"/>
                <w:color w:val="0D161B"/>
                <w:sz w:val="18"/>
                <w:szCs w:val="18"/>
                <w:lang w:val="en-GB"/>
              </w:rPr>
              <w:t xml:space="preserve"> and discussions</w:t>
            </w:r>
          </w:p>
          <w:p w14:paraId="597E46E2" w14:textId="601E0995" w:rsidR="004A06F3" w:rsidRPr="00F512D5" w:rsidRDefault="004A06F3" w:rsidP="001952A0">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Peer learning through questions, group activities and discussion</w:t>
            </w:r>
          </w:p>
        </w:tc>
        <w:tc>
          <w:tcPr>
            <w:tcW w:w="1361" w:type="dxa"/>
          </w:tcPr>
          <w:p w14:paraId="09FA7372" w14:textId="53001287" w:rsidR="004A06F3" w:rsidRPr="00F512D5" w:rsidRDefault="004A06F3" w:rsidP="001952A0">
            <w:pPr>
              <w:numPr>
                <w:ilvl w:val="0"/>
                <w:numId w:val="1"/>
              </w:numPr>
              <w:spacing w:before="84" w:line="276" w:lineRule="auto"/>
              <w:ind w:left="480"/>
              <w:rPr>
                <w:rFonts w:cs="Arial"/>
                <w:color w:val="0D161B"/>
                <w:sz w:val="18"/>
                <w:szCs w:val="18"/>
                <w:lang w:val="en-GB"/>
              </w:rPr>
            </w:pPr>
          </w:p>
        </w:tc>
        <w:tc>
          <w:tcPr>
            <w:tcW w:w="1539" w:type="dxa"/>
          </w:tcPr>
          <w:p w14:paraId="2539B5BE" w14:textId="49546855" w:rsidR="004A06F3" w:rsidRPr="00F512D5" w:rsidRDefault="004A06F3" w:rsidP="001952A0">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D2 K5</w:t>
            </w:r>
          </w:p>
        </w:tc>
        <w:tc>
          <w:tcPr>
            <w:tcW w:w="919" w:type="dxa"/>
          </w:tcPr>
          <w:p w14:paraId="6F6B69FC" w14:textId="11F4F6D2" w:rsidR="00515AAF" w:rsidRDefault="00515AAF" w:rsidP="00515AA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 xml:space="preserve">D1-K1, </w:t>
            </w:r>
            <w:r w:rsidR="008726CD">
              <w:rPr>
                <w:rFonts w:cs="Arial"/>
                <w:color w:val="0D161B"/>
                <w:sz w:val="18"/>
                <w:szCs w:val="18"/>
                <w:lang w:val="en-GB"/>
              </w:rPr>
              <w:t xml:space="preserve">K2, K5, </w:t>
            </w:r>
            <w:r>
              <w:rPr>
                <w:rFonts w:cs="Arial"/>
                <w:color w:val="0D161B"/>
                <w:sz w:val="18"/>
                <w:szCs w:val="18"/>
                <w:lang w:val="en-GB"/>
              </w:rPr>
              <w:t>S1,2,3 A1</w:t>
            </w:r>
          </w:p>
          <w:p w14:paraId="01FA98F5" w14:textId="77777777" w:rsidR="004A06F3" w:rsidRDefault="00515AAF" w:rsidP="00515AA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D2- K</w:t>
            </w:r>
            <w:proofErr w:type="gramStart"/>
            <w:r>
              <w:rPr>
                <w:rFonts w:cs="Arial"/>
                <w:color w:val="0D161B"/>
                <w:sz w:val="18"/>
                <w:szCs w:val="18"/>
                <w:lang w:val="en-GB"/>
              </w:rPr>
              <w:t>1,K2</w:t>
            </w:r>
            <w:proofErr w:type="gramEnd"/>
            <w:r>
              <w:rPr>
                <w:rFonts w:cs="Arial"/>
                <w:color w:val="0D161B"/>
                <w:sz w:val="18"/>
                <w:szCs w:val="18"/>
                <w:lang w:val="en-GB"/>
              </w:rPr>
              <w:t>,K5, K7, K8, K9</w:t>
            </w:r>
          </w:p>
          <w:p w14:paraId="1BB10F70" w14:textId="77777777" w:rsidR="00515AAF" w:rsidRDefault="00515AAF" w:rsidP="00515AA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D3 Critical use of a comprehensive knowledge base of the clinical sciences</w:t>
            </w:r>
            <w:r w:rsidR="004C1109">
              <w:rPr>
                <w:rFonts w:cs="Arial"/>
                <w:color w:val="0D161B"/>
                <w:sz w:val="18"/>
                <w:szCs w:val="18"/>
                <w:lang w:val="en-GB"/>
              </w:rPr>
              <w:t xml:space="preserve"> in the speciality of OMT</w:t>
            </w:r>
            <w:r>
              <w:rPr>
                <w:rFonts w:cs="Arial"/>
                <w:color w:val="0D161B"/>
                <w:sz w:val="18"/>
                <w:szCs w:val="18"/>
                <w:lang w:val="en-GB"/>
              </w:rPr>
              <w:t>: K1, K3, K4, S2</w:t>
            </w:r>
          </w:p>
          <w:p w14:paraId="256A8AEA" w14:textId="77777777" w:rsidR="00796DB0" w:rsidRDefault="00796DB0" w:rsidP="00515AA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D5-K2, K8, K9</w:t>
            </w:r>
          </w:p>
          <w:p w14:paraId="7A699844" w14:textId="3DCBF7B6" w:rsidR="004954D0" w:rsidRDefault="004954D0" w:rsidP="00515AAF">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D6-A1, A3, A4, A5</w:t>
            </w:r>
          </w:p>
        </w:tc>
      </w:tr>
      <w:tr w:rsidR="004A06F3" w:rsidRPr="00F512D5" w14:paraId="5514981A" w14:textId="4003549A" w:rsidTr="004A06F3">
        <w:tc>
          <w:tcPr>
            <w:tcW w:w="3390" w:type="dxa"/>
          </w:tcPr>
          <w:p w14:paraId="2338CCC6" w14:textId="6F4F0302" w:rsidR="004A06F3" w:rsidRPr="00F512D5" w:rsidRDefault="004A06F3" w:rsidP="001952A0">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 xml:space="preserve">Develop an awareness of </w:t>
            </w:r>
            <w:r>
              <w:rPr>
                <w:rFonts w:cs="Arial"/>
                <w:color w:val="0D161B"/>
                <w:sz w:val="18"/>
                <w:szCs w:val="18"/>
                <w:lang w:val="en-GB"/>
              </w:rPr>
              <w:t xml:space="preserve">other considerations with Spondyloarthritis </w:t>
            </w:r>
          </w:p>
        </w:tc>
        <w:tc>
          <w:tcPr>
            <w:tcW w:w="1807" w:type="dxa"/>
          </w:tcPr>
          <w:p w14:paraId="4DD83CB2" w14:textId="77777777" w:rsidR="004A06F3" w:rsidRDefault="004A06F3" w:rsidP="00DF07CE">
            <w:pPr>
              <w:numPr>
                <w:ilvl w:val="0"/>
                <w:numId w:val="1"/>
              </w:numPr>
              <w:spacing w:before="84" w:line="276" w:lineRule="auto"/>
              <w:ind w:left="480"/>
              <w:rPr>
                <w:rFonts w:cs="Arial"/>
                <w:color w:val="0D161B"/>
                <w:sz w:val="18"/>
                <w:szCs w:val="18"/>
                <w:lang w:val="en-GB"/>
              </w:rPr>
            </w:pPr>
            <w:r>
              <w:rPr>
                <w:rFonts w:cs="Arial"/>
                <w:color w:val="0D161B"/>
                <w:sz w:val="18"/>
                <w:szCs w:val="18"/>
                <w:lang w:val="en-GB"/>
              </w:rPr>
              <w:t>Interactive lectures</w:t>
            </w:r>
          </w:p>
          <w:p w14:paraId="46E64270" w14:textId="77777777" w:rsidR="004A06F3" w:rsidRPr="00F512D5" w:rsidRDefault="004A06F3" w:rsidP="00DF07CE">
            <w:pPr>
              <w:numPr>
                <w:ilvl w:val="0"/>
                <w:numId w:val="1"/>
              </w:numPr>
              <w:spacing w:before="84" w:line="276" w:lineRule="auto"/>
              <w:ind w:left="480"/>
              <w:rPr>
                <w:rFonts w:cs="Arial"/>
                <w:color w:val="0D161B"/>
                <w:sz w:val="18"/>
                <w:szCs w:val="18"/>
                <w:lang w:val="en-GB"/>
              </w:rPr>
            </w:pPr>
            <w:r w:rsidRPr="00F512D5">
              <w:rPr>
                <w:rFonts w:cs="Arial"/>
                <w:color w:val="0D161B"/>
                <w:sz w:val="18"/>
                <w:szCs w:val="18"/>
                <w:lang w:val="en-GB"/>
              </w:rPr>
              <w:t xml:space="preserve">Pre-course reading and resource materials </w:t>
            </w:r>
          </w:p>
          <w:p w14:paraId="247C4553" w14:textId="77777777" w:rsidR="004A06F3" w:rsidRPr="00F512D5" w:rsidRDefault="004A06F3" w:rsidP="001952A0">
            <w:pPr>
              <w:numPr>
                <w:ilvl w:val="0"/>
                <w:numId w:val="1"/>
              </w:numPr>
              <w:spacing w:before="84" w:line="276" w:lineRule="auto"/>
              <w:ind w:left="480"/>
              <w:rPr>
                <w:rFonts w:cs="Arial"/>
                <w:color w:val="0D161B"/>
                <w:sz w:val="18"/>
                <w:szCs w:val="18"/>
                <w:lang w:val="en-GB"/>
              </w:rPr>
            </w:pPr>
          </w:p>
        </w:tc>
        <w:tc>
          <w:tcPr>
            <w:tcW w:w="1361" w:type="dxa"/>
          </w:tcPr>
          <w:p w14:paraId="67EBCA24" w14:textId="4FE1A206" w:rsidR="004A06F3" w:rsidRPr="00F512D5" w:rsidRDefault="004A06F3" w:rsidP="001952A0">
            <w:pPr>
              <w:numPr>
                <w:ilvl w:val="0"/>
                <w:numId w:val="1"/>
              </w:numPr>
              <w:spacing w:before="84" w:line="276" w:lineRule="auto"/>
              <w:ind w:left="480"/>
              <w:rPr>
                <w:rFonts w:cs="Arial"/>
                <w:color w:val="0D161B"/>
                <w:sz w:val="18"/>
                <w:szCs w:val="18"/>
                <w:lang w:val="en-GB"/>
              </w:rPr>
            </w:pPr>
            <w:r>
              <w:rPr>
                <w:rFonts w:cs="Arial"/>
                <w:color w:val="0D161B"/>
                <w:sz w:val="18"/>
                <w:szCs w:val="18"/>
                <w:lang w:val="en-GB"/>
              </w:rPr>
              <w:t>B3, B4, B5,</w:t>
            </w:r>
          </w:p>
        </w:tc>
        <w:tc>
          <w:tcPr>
            <w:tcW w:w="1539" w:type="dxa"/>
          </w:tcPr>
          <w:p w14:paraId="0E964346" w14:textId="77777777" w:rsidR="004A06F3" w:rsidRDefault="004A06F3" w:rsidP="004A06F3">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D2, D4, D5, K3, K5, K9</w:t>
            </w:r>
          </w:p>
          <w:p w14:paraId="78925661" w14:textId="359F8B81" w:rsidR="004A06F3" w:rsidRPr="00F512D5" w:rsidRDefault="004A06F3" w:rsidP="004A06F3">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D5-K9</w:t>
            </w:r>
          </w:p>
        </w:tc>
        <w:tc>
          <w:tcPr>
            <w:tcW w:w="919" w:type="dxa"/>
          </w:tcPr>
          <w:p w14:paraId="5E34CD95" w14:textId="77777777" w:rsidR="004A06F3" w:rsidRDefault="004A06F3" w:rsidP="001952A0">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Domain C: Condition management, interventions and prevention</w:t>
            </w:r>
          </w:p>
          <w:p w14:paraId="5AD16100" w14:textId="16584FFA" w:rsidR="00C170BF" w:rsidRPr="00F512D5" w:rsidRDefault="00C170BF" w:rsidP="001952A0">
            <w:pPr>
              <w:numPr>
                <w:ilvl w:val="0"/>
                <w:numId w:val="1"/>
              </w:numPr>
              <w:spacing w:before="84" w:line="276" w:lineRule="auto"/>
              <w:ind w:left="480"/>
              <w:rPr>
                <w:rFonts w:cs="Arial"/>
                <w:color w:val="0D161B"/>
                <w:sz w:val="18"/>
                <w:szCs w:val="18"/>
                <w:lang w:val="en-GB"/>
              </w:rPr>
            </w:pPr>
            <w:r>
              <w:rPr>
                <w:rFonts w:cs="Arial"/>
                <w:color w:val="0D161B"/>
                <w:sz w:val="18"/>
                <w:szCs w:val="18"/>
                <w:lang w:val="en-GB"/>
              </w:rPr>
              <w:t>D8-K2</w:t>
            </w:r>
          </w:p>
        </w:tc>
      </w:tr>
      <w:tr w:rsidR="004A06F3" w:rsidRPr="00F512D5" w14:paraId="57F5A5A7" w14:textId="2D831AA9" w:rsidTr="004A06F3">
        <w:tc>
          <w:tcPr>
            <w:tcW w:w="3390" w:type="dxa"/>
          </w:tcPr>
          <w:p w14:paraId="121C04ED" w14:textId="1056DABC" w:rsidR="004A06F3" w:rsidRPr="001952A0" w:rsidRDefault="004A06F3" w:rsidP="001952A0">
            <w:pPr>
              <w:pStyle w:val="ListParagraph"/>
              <w:numPr>
                <w:ilvl w:val="0"/>
                <w:numId w:val="2"/>
              </w:numPr>
              <w:spacing w:after="240" w:line="276" w:lineRule="auto"/>
              <w:rPr>
                <w:rFonts w:cs="Arial"/>
                <w:color w:val="0D161B"/>
                <w:sz w:val="18"/>
                <w:szCs w:val="18"/>
                <w:lang w:val="en-GB"/>
              </w:rPr>
            </w:pPr>
            <w:r>
              <w:rPr>
                <w:rFonts w:cs="Arial"/>
                <w:color w:val="0D161B"/>
                <w:sz w:val="18"/>
                <w:szCs w:val="18"/>
                <w:lang w:val="en-GB"/>
              </w:rPr>
              <w:t xml:space="preserve">Develop an awareness of professional support resources for recognition and referral of axial spondyloarthritis </w:t>
            </w:r>
          </w:p>
        </w:tc>
        <w:tc>
          <w:tcPr>
            <w:tcW w:w="1807" w:type="dxa"/>
          </w:tcPr>
          <w:p w14:paraId="0ADD4E1B" w14:textId="157289B3" w:rsidR="004A06F3" w:rsidRDefault="004A06F3" w:rsidP="00DF07CE">
            <w:pPr>
              <w:numPr>
                <w:ilvl w:val="0"/>
                <w:numId w:val="2"/>
              </w:numPr>
              <w:spacing w:before="84" w:line="276" w:lineRule="auto"/>
              <w:rPr>
                <w:rFonts w:cs="Arial"/>
                <w:color w:val="0D161B"/>
                <w:sz w:val="18"/>
                <w:szCs w:val="18"/>
                <w:lang w:val="en-GB"/>
              </w:rPr>
            </w:pPr>
            <w:r>
              <w:rPr>
                <w:rFonts w:cs="Arial"/>
                <w:color w:val="0D161B"/>
                <w:sz w:val="18"/>
                <w:szCs w:val="18"/>
                <w:lang w:val="en-GB"/>
              </w:rPr>
              <w:t>Interactive lectures and discussions</w:t>
            </w:r>
          </w:p>
          <w:p w14:paraId="785EB181" w14:textId="2E45D0C5" w:rsidR="004A06F3" w:rsidRPr="00F512D5" w:rsidRDefault="004A06F3" w:rsidP="00DF07CE">
            <w:pPr>
              <w:numPr>
                <w:ilvl w:val="0"/>
                <w:numId w:val="2"/>
              </w:numPr>
              <w:spacing w:before="84" w:line="276" w:lineRule="auto"/>
              <w:rPr>
                <w:rFonts w:cs="Arial"/>
                <w:color w:val="0D161B"/>
                <w:sz w:val="18"/>
                <w:szCs w:val="18"/>
                <w:lang w:val="en-GB"/>
              </w:rPr>
            </w:pPr>
            <w:r>
              <w:rPr>
                <w:rFonts w:cs="Arial"/>
                <w:color w:val="0D161B"/>
                <w:sz w:val="18"/>
                <w:szCs w:val="18"/>
                <w:lang w:val="en-GB"/>
              </w:rPr>
              <w:t>C</w:t>
            </w:r>
            <w:r w:rsidRPr="00F512D5">
              <w:rPr>
                <w:rFonts w:cs="Arial"/>
                <w:color w:val="0D161B"/>
                <w:sz w:val="18"/>
                <w:szCs w:val="18"/>
                <w:lang w:val="en-GB"/>
              </w:rPr>
              <w:t>ourse reading</w:t>
            </w:r>
            <w:r>
              <w:rPr>
                <w:rFonts w:cs="Arial"/>
                <w:color w:val="0D161B"/>
                <w:sz w:val="18"/>
                <w:szCs w:val="18"/>
                <w:lang w:val="en-GB"/>
              </w:rPr>
              <w:t>, handouts</w:t>
            </w:r>
            <w:r w:rsidRPr="00F512D5">
              <w:rPr>
                <w:rFonts w:cs="Arial"/>
                <w:color w:val="0D161B"/>
                <w:sz w:val="18"/>
                <w:szCs w:val="18"/>
                <w:lang w:val="en-GB"/>
              </w:rPr>
              <w:t xml:space="preserve"> and resource materials </w:t>
            </w:r>
          </w:p>
          <w:p w14:paraId="1CD0C67F" w14:textId="77777777" w:rsidR="004A06F3" w:rsidRDefault="004A06F3" w:rsidP="00DF07CE">
            <w:pPr>
              <w:spacing w:before="84" w:line="276" w:lineRule="auto"/>
              <w:ind w:left="360"/>
              <w:rPr>
                <w:rFonts w:cs="Arial"/>
                <w:color w:val="0D161B"/>
                <w:sz w:val="18"/>
                <w:szCs w:val="18"/>
                <w:lang w:val="en-GB"/>
              </w:rPr>
            </w:pPr>
          </w:p>
          <w:p w14:paraId="11B06B7C" w14:textId="77777777" w:rsidR="004A06F3" w:rsidRPr="00F512D5" w:rsidRDefault="004A06F3" w:rsidP="001952A0">
            <w:pPr>
              <w:spacing w:after="240" w:line="276" w:lineRule="auto"/>
              <w:rPr>
                <w:rFonts w:cs="Arial"/>
                <w:color w:val="0D161B"/>
                <w:sz w:val="18"/>
                <w:szCs w:val="18"/>
                <w:lang w:val="en-GB"/>
              </w:rPr>
            </w:pPr>
          </w:p>
        </w:tc>
        <w:tc>
          <w:tcPr>
            <w:tcW w:w="1361" w:type="dxa"/>
          </w:tcPr>
          <w:p w14:paraId="08F4A149" w14:textId="68A30AC9" w:rsidR="004A06F3" w:rsidRPr="00F512D5" w:rsidRDefault="004A06F3" w:rsidP="001952A0">
            <w:pPr>
              <w:spacing w:after="240" w:line="276" w:lineRule="auto"/>
              <w:rPr>
                <w:rFonts w:cs="Arial"/>
                <w:color w:val="0D161B"/>
                <w:sz w:val="18"/>
                <w:szCs w:val="18"/>
                <w:lang w:val="en-GB"/>
              </w:rPr>
            </w:pPr>
            <w:r>
              <w:rPr>
                <w:rFonts w:cs="Arial"/>
                <w:color w:val="0D161B"/>
                <w:sz w:val="18"/>
                <w:szCs w:val="18"/>
                <w:lang w:val="en-GB"/>
              </w:rPr>
              <w:t>B3, B4, B5,</w:t>
            </w:r>
          </w:p>
        </w:tc>
        <w:tc>
          <w:tcPr>
            <w:tcW w:w="1539" w:type="dxa"/>
          </w:tcPr>
          <w:p w14:paraId="16721B91" w14:textId="77777777" w:rsidR="004A06F3" w:rsidRDefault="004A06F3" w:rsidP="001952A0">
            <w:pPr>
              <w:spacing w:after="240" w:line="276" w:lineRule="auto"/>
              <w:rPr>
                <w:rFonts w:cs="Arial"/>
                <w:color w:val="0D161B"/>
                <w:sz w:val="18"/>
                <w:szCs w:val="18"/>
                <w:lang w:val="en-GB"/>
              </w:rPr>
            </w:pPr>
            <w:r>
              <w:rPr>
                <w:rFonts w:cs="Arial"/>
                <w:color w:val="0D161B"/>
                <w:sz w:val="18"/>
                <w:szCs w:val="18"/>
                <w:lang w:val="en-GB"/>
              </w:rPr>
              <w:t>D2 K5</w:t>
            </w:r>
          </w:p>
          <w:p w14:paraId="695F25CB" w14:textId="16B17451" w:rsidR="004954D0" w:rsidRPr="00F512D5" w:rsidRDefault="004954D0" w:rsidP="001952A0">
            <w:pPr>
              <w:spacing w:after="240" w:line="276" w:lineRule="auto"/>
              <w:rPr>
                <w:rFonts w:cs="Arial"/>
                <w:color w:val="0D161B"/>
                <w:sz w:val="18"/>
                <w:szCs w:val="18"/>
                <w:lang w:val="en-GB"/>
              </w:rPr>
            </w:pPr>
            <w:r>
              <w:rPr>
                <w:rFonts w:cs="Arial"/>
                <w:color w:val="0D161B"/>
                <w:sz w:val="18"/>
                <w:szCs w:val="18"/>
                <w:lang w:val="en-GB"/>
              </w:rPr>
              <w:t xml:space="preserve">D6- A2, </w:t>
            </w:r>
          </w:p>
        </w:tc>
        <w:tc>
          <w:tcPr>
            <w:tcW w:w="919" w:type="dxa"/>
          </w:tcPr>
          <w:p w14:paraId="19A2A12F" w14:textId="56751B84" w:rsidR="004954D0" w:rsidRDefault="004954D0" w:rsidP="001952A0">
            <w:pPr>
              <w:spacing w:after="240" w:line="276" w:lineRule="auto"/>
              <w:rPr>
                <w:rFonts w:cs="Arial"/>
                <w:color w:val="0D161B"/>
                <w:sz w:val="18"/>
                <w:szCs w:val="18"/>
                <w:lang w:val="en-GB"/>
              </w:rPr>
            </w:pPr>
            <w:r>
              <w:rPr>
                <w:rFonts w:cs="Arial"/>
                <w:color w:val="0D161B"/>
                <w:sz w:val="18"/>
                <w:szCs w:val="18"/>
                <w:lang w:val="en-GB"/>
              </w:rPr>
              <w:t xml:space="preserve">D7-K3, K4, </w:t>
            </w:r>
          </w:p>
        </w:tc>
      </w:tr>
    </w:tbl>
    <w:bookmarkEnd w:id="0"/>
    <w:p w14:paraId="0CAD849E" w14:textId="77777777" w:rsidR="00EB057F" w:rsidRPr="003502A2" w:rsidRDefault="00EB057F" w:rsidP="00EB057F">
      <w:pPr>
        <w:spacing w:after="240" w:line="276" w:lineRule="auto"/>
        <w:rPr>
          <w:rFonts w:cs="Arial"/>
          <w:b/>
          <w:bCs/>
          <w:color w:val="0D161B"/>
          <w:lang w:val="en-GB"/>
        </w:rPr>
      </w:pPr>
      <w:r w:rsidRPr="003502A2">
        <w:rPr>
          <w:rFonts w:cs="Arial"/>
          <w:b/>
          <w:bCs/>
          <w:color w:val="0D161B"/>
          <w:lang w:val="en-GB"/>
        </w:rPr>
        <w:t>Speaker:</w:t>
      </w:r>
    </w:p>
    <w:p w14:paraId="77C553F9" w14:textId="3B7B8579" w:rsidR="00EB057F" w:rsidRDefault="00EB057F" w:rsidP="00EB057F">
      <w:pPr>
        <w:spacing w:after="240" w:line="276" w:lineRule="auto"/>
        <w:rPr>
          <w:rFonts w:cs="Arial"/>
          <w:color w:val="0D161B"/>
          <w:lang w:val="en-GB"/>
        </w:rPr>
      </w:pPr>
      <w:r w:rsidRPr="00E7497E">
        <w:rPr>
          <w:rFonts w:cs="Arial"/>
          <w:color w:val="0D161B"/>
          <w:lang w:val="en-GB"/>
        </w:rPr>
        <w:t>The Education workshops will be delivered by Dr Carol McCrum</w:t>
      </w:r>
      <w:r>
        <w:rPr>
          <w:rFonts w:cs="Arial"/>
          <w:color w:val="0D161B"/>
          <w:lang w:val="en-GB"/>
        </w:rPr>
        <w:t xml:space="preserve"> (</w:t>
      </w:r>
      <w:proofErr w:type="spellStart"/>
      <w:r>
        <w:rPr>
          <w:rFonts w:cs="Arial"/>
          <w:color w:val="0D161B"/>
          <w:lang w:val="en-GB"/>
        </w:rPr>
        <w:t>B</w:t>
      </w:r>
      <w:r w:rsidR="002D35C2">
        <w:rPr>
          <w:rFonts w:cs="Arial"/>
          <w:color w:val="0D161B"/>
          <w:lang w:val="en-GB"/>
        </w:rPr>
        <w:t>.</w:t>
      </w:r>
      <w:r>
        <w:rPr>
          <w:rFonts w:cs="Arial"/>
          <w:color w:val="0D161B"/>
          <w:lang w:val="en-GB"/>
        </w:rPr>
        <w:t>Sci</w:t>
      </w:r>
      <w:r w:rsidR="002D35C2">
        <w:rPr>
          <w:rFonts w:cs="Arial"/>
          <w:color w:val="0D161B"/>
          <w:lang w:val="en-GB"/>
        </w:rPr>
        <w:t>.</w:t>
      </w:r>
      <w:r>
        <w:rPr>
          <w:rFonts w:cs="Arial"/>
          <w:color w:val="0D161B"/>
          <w:lang w:val="en-GB"/>
        </w:rPr>
        <w:t>App</w:t>
      </w:r>
      <w:proofErr w:type="spellEnd"/>
      <w:r w:rsidR="002D35C2">
        <w:rPr>
          <w:rFonts w:cs="Arial"/>
          <w:color w:val="0D161B"/>
          <w:lang w:val="en-GB"/>
        </w:rPr>
        <w:t>.</w:t>
      </w:r>
      <w:r>
        <w:rPr>
          <w:rFonts w:cs="Arial"/>
          <w:color w:val="0D161B"/>
          <w:lang w:val="en-GB"/>
        </w:rPr>
        <w:t>, GD (</w:t>
      </w:r>
      <w:proofErr w:type="spellStart"/>
      <w:r>
        <w:rPr>
          <w:rFonts w:cs="Arial"/>
          <w:color w:val="0D161B"/>
          <w:lang w:val="en-GB"/>
        </w:rPr>
        <w:t>Manip</w:t>
      </w:r>
      <w:proofErr w:type="spellEnd"/>
      <w:r>
        <w:rPr>
          <w:rFonts w:cs="Arial"/>
          <w:color w:val="0D161B"/>
          <w:lang w:val="en-GB"/>
        </w:rPr>
        <w:t xml:space="preserve">), Dip </w:t>
      </w:r>
      <w:proofErr w:type="spellStart"/>
      <w:r>
        <w:rPr>
          <w:rFonts w:cs="Arial"/>
          <w:color w:val="0D161B"/>
          <w:lang w:val="en-GB"/>
        </w:rPr>
        <w:t>Inj</w:t>
      </w:r>
      <w:proofErr w:type="spellEnd"/>
      <w:r>
        <w:rPr>
          <w:rFonts w:cs="Arial"/>
          <w:color w:val="0D161B"/>
          <w:lang w:val="en-GB"/>
        </w:rPr>
        <w:t xml:space="preserve">, Dip </w:t>
      </w:r>
      <w:proofErr w:type="spellStart"/>
      <w:r>
        <w:rPr>
          <w:rFonts w:cs="Arial"/>
          <w:color w:val="0D161B"/>
          <w:lang w:val="en-GB"/>
        </w:rPr>
        <w:t>Msk.Med</w:t>
      </w:r>
      <w:proofErr w:type="spellEnd"/>
      <w:r w:rsidR="002D35C2">
        <w:rPr>
          <w:rFonts w:cs="Arial"/>
          <w:color w:val="0D161B"/>
          <w:lang w:val="en-GB"/>
        </w:rPr>
        <w:t xml:space="preserve"> (RCP Edin.)</w:t>
      </w:r>
      <w:r>
        <w:rPr>
          <w:rFonts w:cs="Arial"/>
          <w:color w:val="0D161B"/>
          <w:lang w:val="en-GB"/>
        </w:rPr>
        <w:t xml:space="preserve">, DPT, UK Non-medical Prescriber). Carol is </w:t>
      </w:r>
      <w:r w:rsidRPr="00E7497E">
        <w:rPr>
          <w:rFonts w:cs="Arial"/>
          <w:color w:val="0D161B"/>
          <w:lang w:val="en-GB"/>
        </w:rPr>
        <w:t>Consultant Physiotherapist</w:t>
      </w:r>
      <w:r>
        <w:rPr>
          <w:rFonts w:cs="Arial"/>
          <w:color w:val="0D161B"/>
          <w:lang w:val="en-GB"/>
        </w:rPr>
        <w:t xml:space="preserve">, </w:t>
      </w:r>
      <w:r w:rsidR="002D35C2">
        <w:rPr>
          <w:rFonts w:cs="Arial"/>
          <w:color w:val="0D161B"/>
          <w:lang w:val="en-GB"/>
        </w:rPr>
        <w:t>Advanced Practice Rheumatology</w:t>
      </w:r>
      <w:r>
        <w:rPr>
          <w:rFonts w:cs="Arial"/>
          <w:color w:val="0D161B"/>
          <w:lang w:val="en-GB"/>
        </w:rPr>
        <w:t xml:space="preserve"> </w:t>
      </w:r>
      <w:proofErr w:type="gramStart"/>
      <w:r>
        <w:rPr>
          <w:rFonts w:cs="Arial"/>
          <w:color w:val="0D161B"/>
          <w:lang w:val="en-GB"/>
        </w:rPr>
        <w:t xml:space="preserve">Physiotherapist </w:t>
      </w:r>
      <w:r w:rsidRPr="00E7497E">
        <w:rPr>
          <w:rFonts w:cs="Arial"/>
          <w:color w:val="0D161B"/>
          <w:lang w:val="en-GB"/>
        </w:rPr>
        <w:t xml:space="preserve"> and</w:t>
      </w:r>
      <w:proofErr w:type="gramEnd"/>
      <w:r w:rsidRPr="00E7497E">
        <w:rPr>
          <w:rFonts w:cs="Arial"/>
          <w:color w:val="0D161B"/>
          <w:lang w:val="en-GB"/>
        </w:rPr>
        <w:t xml:space="preserve"> NICE Fellow who has successfully delivered</w:t>
      </w:r>
      <w:r>
        <w:rPr>
          <w:rFonts w:cs="Arial"/>
          <w:color w:val="0D161B"/>
          <w:lang w:val="en-GB"/>
        </w:rPr>
        <w:t xml:space="preserve"> this series of workshops in the UK to Physiotherapists, osteopaths and GPs since 2018 to support earlier diagnosis and reduce the impacts for people with axial and peripheral spondyloarthritis and other </w:t>
      </w:r>
    </w:p>
    <w:p w14:paraId="68336899" w14:textId="77777777" w:rsidR="00EB057F" w:rsidRPr="00B460AF" w:rsidRDefault="00EB057F" w:rsidP="00EB057F">
      <w:pPr>
        <w:spacing w:after="240" w:line="276" w:lineRule="auto"/>
        <w:rPr>
          <w:rFonts w:cs="Arial"/>
          <w:b/>
          <w:bCs/>
          <w:color w:val="0D161B"/>
          <w:lang w:val="en-GB"/>
        </w:rPr>
      </w:pPr>
      <w:r w:rsidRPr="00B460AF">
        <w:rPr>
          <w:rFonts w:cs="Arial"/>
          <w:b/>
          <w:bCs/>
          <w:color w:val="0D161B"/>
          <w:lang w:val="en-GB"/>
        </w:rPr>
        <w:t>Biography</w:t>
      </w:r>
    </w:p>
    <w:p w14:paraId="17409A37" w14:textId="77777777" w:rsidR="00EB057F" w:rsidRDefault="00EB057F" w:rsidP="00EB057F">
      <w:pPr>
        <w:spacing w:line="276" w:lineRule="auto"/>
      </w:pPr>
      <w:r w:rsidRPr="00B460AF">
        <w:rPr>
          <w:rFonts w:cstheme="minorHAnsi"/>
        </w:rPr>
        <w:t xml:space="preserve">Dr Carol McCrum has been a Consultant Physiotherapist in Rheumatology and </w:t>
      </w:r>
      <w:proofErr w:type="spellStart"/>
      <w:r w:rsidRPr="00B460AF">
        <w:rPr>
          <w:rFonts w:cstheme="minorHAnsi"/>
        </w:rPr>
        <w:t>Orthopaedics</w:t>
      </w:r>
      <w:proofErr w:type="spellEnd"/>
      <w:r w:rsidRPr="00B460AF">
        <w:rPr>
          <w:rFonts w:cstheme="minorHAnsi"/>
        </w:rPr>
        <w:t xml:space="preserve"> since 2005 and </w:t>
      </w:r>
      <w:r>
        <w:rPr>
          <w:rFonts w:cstheme="minorHAnsi"/>
        </w:rPr>
        <w:t xml:space="preserve">currently </w:t>
      </w:r>
      <w:r w:rsidRPr="00B460AF">
        <w:rPr>
          <w:rFonts w:cstheme="minorHAnsi"/>
        </w:rPr>
        <w:t>works at Canberra Hospital, Rheumatology Department</w:t>
      </w:r>
      <w:r>
        <w:rPr>
          <w:rFonts w:cstheme="minorHAnsi"/>
        </w:rPr>
        <w:t>, ACT</w:t>
      </w:r>
      <w:r w:rsidRPr="00B460AF">
        <w:rPr>
          <w:rFonts w:cstheme="minorHAnsi"/>
        </w:rPr>
        <w:t xml:space="preserve">. </w:t>
      </w:r>
      <w:r>
        <w:rPr>
          <w:rFonts w:cstheme="minorHAnsi"/>
        </w:rPr>
        <w:t xml:space="preserve">Carol </w:t>
      </w:r>
      <w:r w:rsidRPr="00B460AF">
        <w:t>completed her doctorate in acute low back pain (2011)</w:t>
      </w:r>
      <w:r>
        <w:t xml:space="preserve"> and is</w:t>
      </w:r>
      <w:r w:rsidRPr="00B460AF">
        <w:rPr>
          <w:rFonts w:cstheme="minorHAnsi"/>
        </w:rPr>
        <w:t xml:space="preserve"> a Visiting Research Fellow at University of Brighton</w:t>
      </w:r>
      <w:r>
        <w:rPr>
          <w:rFonts w:cstheme="minorHAnsi"/>
        </w:rPr>
        <w:t xml:space="preserve">, and an affiliate member University of Canberra Musculoskeletal Research Interest Group. </w:t>
      </w:r>
      <w:r>
        <w:t xml:space="preserve">She remains </w:t>
      </w:r>
      <w:r w:rsidRPr="00B460AF">
        <w:t xml:space="preserve">active </w:t>
      </w:r>
      <w:r>
        <w:t xml:space="preserve">in research, publication and knowledge translation, and supports </w:t>
      </w:r>
      <w:r w:rsidRPr="00B460AF">
        <w:t>research</w:t>
      </w:r>
      <w:r>
        <w:t>er development in clinical and academic contexts</w:t>
      </w:r>
      <w:r w:rsidRPr="00B460AF">
        <w:t>.</w:t>
      </w:r>
    </w:p>
    <w:p w14:paraId="2468E149" w14:textId="77777777" w:rsidR="00EB057F" w:rsidRDefault="00EB057F" w:rsidP="00EB057F">
      <w:pPr>
        <w:spacing w:line="276" w:lineRule="auto"/>
      </w:pPr>
    </w:p>
    <w:p w14:paraId="669774ED" w14:textId="00DCD302" w:rsidR="00EB057F" w:rsidRPr="00B460AF" w:rsidRDefault="00EB057F" w:rsidP="00EB057F">
      <w:pPr>
        <w:spacing w:line="276" w:lineRule="auto"/>
        <w:rPr>
          <w:rFonts w:cs="Arial"/>
          <w:b/>
          <w:bCs/>
          <w:color w:val="0D161B"/>
          <w:lang w:val="en-GB"/>
        </w:rPr>
      </w:pPr>
      <w:r w:rsidRPr="00B460AF">
        <w:t xml:space="preserve"> Carol was a committee member of NICE Guidance</w:t>
      </w:r>
      <w:r>
        <w:t xml:space="preserve"> (2017)</w:t>
      </w:r>
      <w:r w:rsidRPr="00B460AF">
        <w:t xml:space="preserve"> and Quality Standards </w:t>
      </w:r>
      <w:r>
        <w:t xml:space="preserve">(2018) </w:t>
      </w:r>
      <w:r w:rsidRPr="00B460AF">
        <w:t xml:space="preserve">on Spondyloarthritis and </w:t>
      </w:r>
      <w:r>
        <w:t>was awarded</w:t>
      </w:r>
      <w:r w:rsidRPr="00B460AF">
        <w:t xml:space="preserve"> a NICE Fellowship to raise awareness of this guidance.  She is involved in national and international projects to improve pathways, develop guidance and promote high quality care in rheumatology, including membership of the WHO RA Rehabilitation guidance development group</w:t>
      </w:r>
      <w:r>
        <w:t xml:space="preserve"> and the Axial </w:t>
      </w:r>
      <w:r w:rsidR="002D35C2">
        <w:t>Spondyloarthritis</w:t>
      </w:r>
      <w:r>
        <w:t xml:space="preserve"> All Party Parliamentary Group championing</w:t>
      </w:r>
      <w:r w:rsidR="002D35C2">
        <w:t xml:space="preserve"> </w:t>
      </w:r>
      <w:r>
        <w:t>earl</w:t>
      </w:r>
      <w:r w:rsidR="002D35C2">
        <w:t>i</w:t>
      </w:r>
      <w:r>
        <w:t>er diagnosis and care</w:t>
      </w:r>
      <w:r w:rsidRPr="00B460AF">
        <w:t>.</w:t>
      </w:r>
      <w:r w:rsidRPr="00B460AF">
        <w:rPr>
          <w:rFonts w:cstheme="minorHAnsi"/>
        </w:rPr>
        <w:t xml:space="preserve"> Carol </w:t>
      </w:r>
      <w:r>
        <w:rPr>
          <w:rFonts w:cstheme="minorHAnsi"/>
        </w:rPr>
        <w:t>is a member of the BSR Physiotherapy Working Group, APA RHPA and Co-Chair of the recently formed Rheumatology Specialist Physiotherapy Clinical Interest Group. She is c</w:t>
      </w:r>
      <w:r w:rsidRPr="00B460AF">
        <w:rPr>
          <w:rFonts w:cstheme="minorHAnsi"/>
        </w:rPr>
        <w:t>o-</w:t>
      </w:r>
      <w:r>
        <w:rPr>
          <w:rFonts w:cstheme="minorHAnsi"/>
        </w:rPr>
        <w:t>author of</w:t>
      </w:r>
      <w:r w:rsidRPr="00B460AF">
        <w:rPr>
          <w:rFonts w:cstheme="minorHAnsi"/>
        </w:rPr>
        <w:t xml:space="preserve"> the </w:t>
      </w:r>
      <w:r>
        <w:rPr>
          <w:rFonts w:cstheme="minorHAnsi"/>
        </w:rPr>
        <w:t xml:space="preserve">UK </w:t>
      </w:r>
      <w:r w:rsidRPr="00B460AF">
        <w:rPr>
          <w:rFonts w:cstheme="minorHAnsi"/>
        </w:rPr>
        <w:t>Rheumatology Physiotherapy Capabilities Framework development project</w:t>
      </w:r>
      <w:r>
        <w:rPr>
          <w:rFonts w:cstheme="minorHAnsi"/>
        </w:rPr>
        <w:t xml:space="preserve">. </w:t>
      </w:r>
      <w:r w:rsidRPr="00B460AF">
        <w:rPr>
          <w:rFonts w:cstheme="minorHAnsi"/>
        </w:rPr>
        <w:t>The Capabilities Framework aims to support the physiotherapy workforce, role development, professional education, and support those working in musculoskeletal clinical practice to ensure early recognition and referral of suspected rheumatological conditions</w:t>
      </w:r>
      <w:r>
        <w:rPr>
          <w:rFonts w:cstheme="minorHAnsi"/>
        </w:rPr>
        <w:t xml:space="preserve">. </w:t>
      </w:r>
    </w:p>
    <w:p w14:paraId="5B6D85E8" w14:textId="77777777" w:rsidR="00EB057F" w:rsidRPr="00E7497E" w:rsidRDefault="00EB057F" w:rsidP="00EB057F">
      <w:pPr>
        <w:spacing w:line="276" w:lineRule="auto"/>
        <w:rPr>
          <w:rFonts w:cs="Arial"/>
          <w:b/>
          <w:bCs/>
          <w:color w:val="0D161B"/>
          <w:lang w:val="en-GB"/>
        </w:rPr>
      </w:pPr>
    </w:p>
    <w:p w14:paraId="13B6FF02" w14:textId="77777777" w:rsidR="00EB057F" w:rsidRPr="00E7497E" w:rsidRDefault="00EB057F" w:rsidP="00EB057F">
      <w:pPr>
        <w:spacing w:line="276" w:lineRule="auto"/>
        <w:rPr>
          <w:rFonts w:cs="Arial"/>
          <w:color w:val="0D161B"/>
          <w:lang w:val="en-GB"/>
        </w:rPr>
      </w:pPr>
      <w:r w:rsidRPr="00E7497E">
        <w:rPr>
          <w:rFonts w:cs="Arial"/>
          <w:b/>
          <w:bCs/>
          <w:color w:val="0D161B"/>
          <w:lang w:val="en-GB"/>
        </w:rPr>
        <w:t>Proposed timetable</w:t>
      </w:r>
      <w:r w:rsidRPr="00E7497E">
        <w:rPr>
          <w:rFonts w:cs="Arial"/>
          <w:b/>
          <w:bCs/>
          <w:color w:val="0D161B"/>
          <w:lang w:val="en-GB"/>
        </w:rPr>
        <w:br/>
      </w:r>
    </w:p>
    <w:p w14:paraId="6E61AE84" w14:textId="77777777" w:rsidR="00EB057F" w:rsidRPr="00E7497E" w:rsidRDefault="00EB057F" w:rsidP="00EB057F">
      <w:pPr>
        <w:pStyle w:val="NormalWeb"/>
        <w:kinsoku w:val="0"/>
        <w:overflowPunct w:val="0"/>
        <w:spacing w:before="0" w:beforeAutospacing="0" w:after="0" w:afterAutospacing="0" w:line="276" w:lineRule="auto"/>
        <w:textAlignment w:val="baseline"/>
        <w:rPr>
          <w:rFonts w:ascii="Verdana" w:hAnsi="Verdana" w:cs="Arial"/>
          <w:color w:val="0D161B"/>
          <w:sz w:val="20"/>
          <w:szCs w:val="20"/>
          <w:lang w:val="en-GB"/>
        </w:rPr>
      </w:pPr>
      <w:r w:rsidRPr="00E7497E">
        <w:rPr>
          <w:rFonts w:ascii="Verdana" w:hAnsi="Verdana" w:cs="Arial"/>
          <w:color w:val="0D161B"/>
          <w:sz w:val="20"/>
          <w:szCs w:val="20"/>
          <w:lang w:val="en-GB"/>
        </w:rPr>
        <w:t>09:00 - 09:15 – Arrivals and welcome</w:t>
      </w:r>
    </w:p>
    <w:p w14:paraId="3470E009" w14:textId="34C8EEFB" w:rsidR="00EB057F" w:rsidRPr="00E7497E" w:rsidRDefault="00EB057F" w:rsidP="00EB057F">
      <w:pPr>
        <w:pStyle w:val="NormalWeb"/>
        <w:kinsoku w:val="0"/>
        <w:overflowPunct w:val="0"/>
        <w:spacing w:before="0" w:beforeAutospacing="0" w:after="0" w:afterAutospacing="0" w:line="276" w:lineRule="auto"/>
        <w:textAlignment w:val="baseline"/>
        <w:rPr>
          <w:rFonts w:ascii="Verdana" w:hAnsi="Verdana" w:cs="Arial"/>
          <w:color w:val="0D161B"/>
          <w:sz w:val="20"/>
          <w:szCs w:val="20"/>
          <w:lang w:val="en-GB"/>
        </w:rPr>
      </w:pPr>
      <w:r w:rsidRPr="00E7497E">
        <w:rPr>
          <w:rFonts w:ascii="Verdana" w:hAnsi="Verdana" w:cs="Arial"/>
          <w:color w:val="0D161B"/>
          <w:sz w:val="20"/>
          <w:szCs w:val="20"/>
          <w:lang w:val="en-GB"/>
        </w:rPr>
        <w:t xml:space="preserve">09:15 -09:45 </w:t>
      </w:r>
      <w:proofErr w:type="gramStart"/>
      <w:r w:rsidRPr="00E7497E">
        <w:rPr>
          <w:rFonts w:ascii="Verdana" w:hAnsi="Verdana" w:cs="Arial"/>
          <w:color w:val="0D161B"/>
          <w:sz w:val="20"/>
          <w:szCs w:val="20"/>
          <w:lang w:val="en-GB"/>
        </w:rPr>
        <w:t>-  Msk?...</w:t>
      </w:r>
      <w:proofErr w:type="gramEnd"/>
      <w:r w:rsidRPr="00E7497E">
        <w:rPr>
          <w:rFonts w:ascii="Verdana" w:hAnsi="Verdana" w:cs="Arial"/>
          <w:color w:val="0D161B"/>
          <w:sz w:val="20"/>
          <w:szCs w:val="20"/>
          <w:lang w:val="en-GB"/>
        </w:rPr>
        <w:t xml:space="preserve">Think SpA! Overview of </w:t>
      </w:r>
      <w:r w:rsidRPr="00E7497E">
        <w:rPr>
          <w:rFonts w:ascii="Verdana" w:hAnsi="Verdana" w:cs="Arial"/>
          <w:bCs/>
          <w:color w:val="000000" w:themeColor="text1"/>
          <w:kern w:val="24"/>
          <w:sz w:val="20"/>
          <w:szCs w:val="20"/>
          <w:lang w:val="en-GB"/>
        </w:rPr>
        <w:t>A</w:t>
      </w:r>
      <w:proofErr w:type="spellStart"/>
      <w:r w:rsidRPr="00E7497E">
        <w:rPr>
          <w:rFonts w:ascii="Verdana" w:hAnsi="Verdana" w:cs="Arial"/>
          <w:bCs/>
          <w:color w:val="000000" w:themeColor="text1"/>
          <w:kern w:val="24"/>
          <w:sz w:val="20"/>
          <w:szCs w:val="20"/>
        </w:rPr>
        <w:t>xial</w:t>
      </w:r>
      <w:proofErr w:type="spellEnd"/>
      <w:r w:rsidRPr="00E7497E">
        <w:rPr>
          <w:rFonts w:ascii="Verdana" w:hAnsi="Verdana" w:cs="Arial"/>
          <w:bCs/>
          <w:color w:val="000000" w:themeColor="text1"/>
          <w:kern w:val="24"/>
          <w:sz w:val="20"/>
          <w:szCs w:val="20"/>
        </w:rPr>
        <w:t xml:space="preserve"> Spondyloarthritis (</w:t>
      </w:r>
      <w:proofErr w:type="spellStart"/>
      <w:r w:rsidRPr="00E7497E">
        <w:rPr>
          <w:rFonts w:ascii="Verdana" w:hAnsi="Verdana" w:cs="Arial"/>
          <w:bCs/>
          <w:color w:val="000000" w:themeColor="text1"/>
          <w:kern w:val="24"/>
          <w:sz w:val="20"/>
          <w:szCs w:val="20"/>
        </w:rPr>
        <w:t>AxSpA</w:t>
      </w:r>
      <w:proofErr w:type="spellEnd"/>
      <w:r w:rsidRPr="00E7497E">
        <w:rPr>
          <w:rFonts w:ascii="Verdana" w:hAnsi="Verdana" w:cs="Arial"/>
          <w:bCs/>
          <w:color w:val="000000" w:themeColor="text1"/>
          <w:kern w:val="24"/>
          <w:sz w:val="20"/>
          <w:szCs w:val="20"/>
        </w:rPr>
        <w:t>) and Psoriatic Arthritis (</w:t>
      </w:r>
      <w:r w:rsidRPr="00E7497E">
        <w:rPr>
          <w:rFonts w:ascii="Verdana" w:hAnsi="Verdana" w:cs="Arial"/>
          <w:bCs/>
          <w:color w:val="000000" w:themeColor="text1"/>
          <w:kern w:val="24"/>
          <w:sz w:val="20"/>
          <w:szCs w:val="20"/>
          <w:lang w:val="en-GB"/>
        </w:rPr>
        <w:t>PsA</w:t>
      </w:r>
      <w:r w:rsidRPr="00E7497E">
        <w:rPr>
          <w:rFonts w:ascii="Verdana" w:hAnsi="Verdana" w:cs="Arial"/>
          <w:bCs/>
          <w:color w:val="000000" w:themeColor="text1"/>
          <w:kern w:val="24"/>
          <w:sz w:val="20"/>
          <w:szCs w:val="20"/>
        </w:rPr>
        <w:t xml:space="preserve">) </w:t>
      </w:r>
      <w:r w:rsidRPr="00E7497E">
        <w:rPr>
          <w:rFonts w:ascii="Verdana" w:hAnsi="Verdana" w:cs="Arial"/>
          <w:color w:val="0D161B"/>
          <w:sz w:val="20"/>
          <w:szCs w:val="20"/>
          <w:lang w:val="en-GB"/>
        </w:rPr>
        <w:t>and clinical manifestations</w:t>
      </w:r>
    </w:p>
    <w:p w14:paraId="694F8A44" w14:textId="77777777" w:rsidR="00EB057F" w:rsidRDefault="00EB057F" w:rsidP="00EB057F">
      <w:pPr>
        <w:spacing w:line="276" w:lineRule="auto"/>
        <w:rPr>
          <w:rFonts w:cs="Arial"/>
          <w:color w:val="0D161B"/>
          <w:lang w:val="en-GB"/>
        </w:rPr>
      </w:pPr>
      <w:r w:rsidRPr="00E7497E">
        <w:rPr>
          <w:rFonts w:cs="Arial"/>
          <w:color w:val="0D161B"/>
          <w:lang w:val="en-GB"/>
        </w:rPr>
        <w:t>09:45 - 10:30 When to suspect axial and peripheral spondyloarthritis -NICE clinical guidance on referral to rheumatology</w:t>
      </w:r>
    </w:p>
    <w:p w14:paraId="2B783A1B" w14:textId="77777777" w:rsidR="00EB057F" w:rsidRPr="00E7497E" w:rsidRDefault="00EB057F" w:rsidP="00EB057F">
      <w:pPr>
        <w:spacing w:line="276" w:lineRule="auto"/>
        <w:rPr>
          <w:rFonts w:cs="Arial"/>
          <w:color w:val="0D161B"/>
          <w:lang w:val="en-GB"/>
        </w:rPr>
      </w:pPr>
    </w:p>
    <w:p w14:paraId="3E59EAC3" w14:textId="77777777" w:rsidR="00EB057F" w:rsidRDefault="00EB057F" w:rsidP="00EB057F">
      <w:pPr>
        <w:spacing w:line="276" w:lineRule="auto"/>
        <w:rPr>
          <w:rFonts w:cs="Arial"/>
          <w:color w:val="0D161B"/>
          <w:lang w:val="en-GB"/>
        </w:rPr>
      </w:pPr>
      <w:r w:rsidRPr="00E7497E">
        <w:rPr>
          <w:rFonts w:cs="Arial"/>
          <w:color w:val="0D161B"/>
          <w:lang w:val="en-GB"/>
        </w:rPr>
        <w:t>10:30 – 10:45 Break</w:t>
      </w:r>
    </w:p>
    <w:p w14:paraId="1A900339" w14:textId="77777777" w:rsidR="00EB057F" w:rsidRPr="00E7497E" w:rsidRDefault="00EB057F" w:rsidP="00EB057F">
      <w:pPr>
        <w:spacing w:line="276" w:lineRule="auto"/>
        <w:rPr>
          <w:rFonts w:cs="Arial"/>
          <w:color w:val="0D161B"/>
          <w:lang w:val="en-GB"/>
        </w:rPr>
      </w:pPr>
    </w:p>
    <w:p w14:paraId="21D86705" w14:textId="77777777" w:rsidR="00EB057F" w:rsidRPr="00E7497E" w:rsidRDefault="00EB057F" w:rsidP="00EB057F">
      <w:pPr>
        <w:spacing w:line="276" w:lineRule="auto"/>
        <w:rPr>
          <w:rFonts w:cs="Arial"/>
          <w:color w:val="0D161B"/>
          <w:lang w:val="en-GB"/>
        </w:rPr>
      </w:pPr>
      <w:r w:rsidRPr="00E7497E">
        <w:rPr>
          <w:rFonts w:cs="Arial"/>
          <w:color w:val="0D161B"/>
          <w:lang w:val="en-GB"/>
        </w:rPr>
        <w:t xml:space="preserve">10:45- 11.15 - Imaging considerations in suspected </w:t>
      </w:r>
      <w:proofErr w:type="spellStart"/>
      <w:r w:rsidRPr="00E7497E">
        <w:rPr>
          <w:rFonts w:cs="Arial"/>
          <w:color w:val="0D161B"/>
          <w:lang w:val="en-GB"/>
        </w:rPr>
        <w:t>axSpA</w:t>
      </w:r>
      <w:proofErr w:type="spellEnd"/>
      <w:r w:rsidRPr="00E7497E">
        <w:rPr>
          <w:rFonts w:cs="Arial"/>
          <w:color w:val="0D161B"/>
          <w:lang w:val="en-GB"/>
        </w:rPr>
        <w:t xml:space="preserve"> and Psoriatic Arthritis/Peripheral SpA</w:t>
      </w:r>
    </w:p>
    <w:p w14:paraId="05F4DEF8" w14:textId="77777777" w:rsidR="00EB057F" w:rsidRPr="00E7497E" w:rsidRDefault="00EB057F" w:rsidP="00EB057F">
      <w:pPr>
        <w:spacing w:line="276" w:lineRule="auto"/>
        <w:rPr>
          <w:rFonts w:cs="Arial"/>
          <w:color w:val="0D161B"/>
          <w:lang w:val="en-GB"/>
        </w:rPr>
      </w:pPr>
      <w:r w:rsidRPr="00E7497E">
        <w:rPr>
          <w:rFonts w:cs="Arial"/>
          <w:color w:val="0D161B"/>
          <w:lang w:val="en-GB"/>
        </w:rPr>
        <w:t>11:15 - 11:30 Other considerations in people with spondyloarthritis</w:t>
      </w:r>
    </w:p>
    <w:p w14:paraId="1E1A93C2" w14:textId="77777777" w:rsidR="00EB057F" w:rsidRPr="00E7497E" w:rsidRDefault="00EB057F" w:rsidP="00EB057F">
      <w:pPr>
        <w:spacing w:line="276" w:lineRule="auto"/>
        <w:rPr>
          <w:rFonts w:cs="Arial"/>
          <w:color w:val="0D161B"/>
          <w:lang w:val="en-GB"/>
        </w:rPr>
      </w:pPr>
      <w:r w:rsidRPr="00E7497E">
        <w:rPr>
          <w:rFonts w:cs="Arial"/>
          <w:color w:val="0D161B"/>
          <w:lang w:val="en-GB"/>
        </w:rPr>
        <w:t>11:30 - 12:00 Extra-articular manifestations- considerations for clinical assessments </w:t>
      </w:r>
    </w:p>
    <w:p w14:paraId="7CA32DC6" w14:textId="77777777" w:rsidR="00EB057F" w:rsidRPr="00E7497E" w:rsidRDefault="00EB057F" w:rsidP="00EB057F">
      <w:pPr>
        <w:spacing w:line="276" w:lineRule="auto"/>
        <w:rPr>
          <w:rFonts w:cs="Arial"/>
          <w:color w:val="0D161B"/>
          <w:lang w:val="en-GB"/>
        </w:rPr>
      </w:pPr>
    </w:p>
    <w:p w14:paraId="1B1FFCE4" w14:textId="77777777" w:rsidR="00EB057F" w:rsidRPr="00E7497E" w:rsidRDefault="00EB057F" w:rsidP="00EB057F">
      <w:pPr>
        <w:spacing w:line="276" w:lineRule="auto"/>
        <w:rPr>
          <w:rFonts w:cs="Arial"/>
          <w:color w:val="0D161B"/>
          <w:lang w:val="en-GB"/>
        </w:rPr>
      </w:pPr>
      <w:r w:rsidRPr="00E7497E">
        <w:rPr>
          <w:rFonts w:cs="Arial"/>
          <w:color w:val="0D161B"/>
          <w:lang w:val="en-GB"/>
        </w:rPr>
        <w:t xml:space="preserve">12:00 - 12:30 Lunch </w:t>
      </w:r>
    </w:p>
    <w:p w14:paraId="35358953" w14:textId="77777777" w:rsidR="00EB057F" w:rsidRPr="00E7497E" w:rsidRDefault="00EB057F" w:rsidP="00EB057F">
      <w:pPr>
        <w:spacing w:line="276" w:lineRule="auto"/>
        <w:rPr>
          <w:rFonts w:cs="Arial"/>
          <w:color w:val="0D161B"/>
          <w:lang w:val="en-GB"/>
        </w:rPr>
      </w:pPr>
    </w:p>
    <w:p w14:paraId="61E20E77" w14:textId="77777777" w:rsidR="00EB057F" w:rsidRPr="00E7497E" w:rsidRDefault="00EB057F" w:rsidP="00EB057F">
      <w:pPr>
        <w:spacing w:line="276" w:lineRule="auto"/>
        <w:rPr>
          <w:rFonts w:cs="Arial"/>
          <w:color w:val="0D161B"/>
          <w:lang w:val="en-GB"/>
        </w:rPr>
      </w:pPr>
      <w:r w:rsidRPr="00E7497E">
        <w:rPr>
          <w:rFonts w:cs="Arial"/>
          <w:color w:val="0D161B"/>
          <w:lang w:val="en-GB"/>
        </w:rPr>
        <w:t xml:space="preserve">12:30 - 13:00 Screening - </w:t>
      </w:r>
      <w:r>
        <w:rPr>
          <w:rFonts w:cs="Arial"/>
          <w:color w:val="0D161B"/>
          <w:lang w:val="en-GB"/>
        </w:rPr>
        <w:t>H</w:t>
      </w:r>
      <w:r w:rsidRPr="00E7497E">
        <w:rPr>
          <w:rFonts w:cs="Arial"/>
          <w:color w:val="0D161B"/>
          <w:lang w:val="en-GB"/>
        </w:rPr>
        <w:t>istory taking</w:t>
      </w:r>
      <w:r>
        <w:rPr>
          <w:rFonts w:cs="Arial"/>
          <w:color w:val="0D161B"/>
          <w:lang w:val="en-GB"/>
        </w:rPr>
        <w:t>, case studies</w:t>
      </w:r>
      <w:r w:rsidRPr="00E7497E">
        <w:rPr>
          <w:rFonts w:cs="Arial"/>
          <w:color w:val="0D161B"/>
          <w:lang w:val="en-GB"/>
        </w:rPr>
        <w:t xml:space="preserve"> and clinical reasoning workshop</w:t>
      </w:r>
      <w:r>
        <w:rPr>
          <w:rFonts w:cs="Arial"/>
          <w:color w:val="0D161B"/>
          <w:lang w:val="en-GB"/>
        </w:rPr>
        <w:t>- practical workshop</w:t>
      </w:r>
    </w:p>
    <w:p w14:paraId="3851D8DA" w14:textId="77777777" w:rsidR="00EB057F" w:rsidRPr="00E7497E" w:rsidRDefault="00EB057F" w:rsidP="00EB057F">
      <w:pPr>
        <w:spacing w:line="276" w:lineRule="auto"/>
        <w:rPr>
          <w:rFonts w:cs="Arial"/>
          <w:color w:val="0D161B"/>
          <w:lang w:val="en-GB"/>
        </w:rPr>
      </w:pPr>
      <w:r w:rsidRPr="00E7497E">
        <w:rPr>
          <w:rFonts w:cs="Arial"/>
          <w:color w:val="0D161B"/>
          <w:lang w:val="en-GB"/>
        </w:rPr>
        <w:t xml:space="preserve">13:00 - 14:00 </w:t>
      </w:r>
      <w:r w:rsidRPr="00E7497E">
        <w:rPr>
          <w:rFonts w:cs="Arial"/>
          <w:color w:val="000000" w:themeColor="text1"/>
        </w:rPr>
        <w:t xml:space="preserve">Extra-articular manifestations – </w:t>
      </w:r>
      <w:proofErr w:type="gramStart"/>
      <w:r w:rsidRPr="00E7497E">
        <w:rPr>
          <w:rFonts w:cs="Arial"/>
          <w:color w:val="000000" w:themeColor="text1"/>
        </w:rPr>
        <w:t>considerations</w:t>
      </w:r>
      <w:r>
        <w:rPr>
          <w:rFonts w:cs="Arial"/>
          <w:color w:val="000000" w:themeColor="text1"/>
        </w:rPr>
        <w:t xml:space="preserve">, </w:t>
      </w:r>
      <w:r w:rsidRPr="00E7497E">
        <w:rPr>
          <w:rFonts w:cs="Arial"/>
          <w:color w:val="000000" w:themeColor="text1"/>
        </w:rPr>
        <w:t xml:space="preserve"> clinical</w:t>
      </w:r>
      <w:proofErr w:type="gramEnd"/>
      <w:r w:rsidRPr="00E7497E">
        <w:rPr>
          <w:rFonts w:cs="Arial"/>
          <w:color w:val="000000" w:themeColor="text1"/>
        </w:rPr>
        <w:t xml:space="preserve"> assessments</w:t>
      </w:r>
      <w:r>
        <w:rPr>
          <w:rFonts w:cs="Arial"/>
          <w:color w:val="000000" w:themeColor="text1"/>
        </w:rPr>
        <w:t xml:space="preserve"> and skin examination</w:t>
      </w:r>
      <w:r w:rsidRPr="00E7497E">
        <w:rPr>
          <w:rFonts w:cs="Arial"/>
          <w:color w:val="000000" w:themeColor="text1"/>
        </w:rPr>
        <w:t xml:space="preserve"> – practical workshop</w:t>
      </w:r>
    </w:p>
    <w:p w14:paraId="36F8F312" w14:textId="77777777" w:rsidR="00EB057F" w:rsidRPr="00E7497E" w:rsidRDefault="00EB057F" w:rsidP="00EB057F">
      <w:pPr>
        <w:spacing w:line="276" w:lineRule="auto"/>
        <w:rPr>
          <w:rFonts w:cs="Arial"/>
          <w:color w:val="0D161B"/>
          <w:lang w:val="en-GB"/>
        </w:rPr>
      </w:pPr>
      <w:r w:rsidRPr="00E7497E">
        <w:rPr>
          <w:rFonts w:cs="Arial"/>
          <w:color w:val="0D161B"/>
          <w:lang w:val="en-GB"/>
        </w:rPr>
        <w:t>14:00 - 14:15 Referral letters and pathways- discussion and Q&amp;A</w:t>
      </w:r>
    </w:p>
    <w:p w14:paraId="0791C525" w14:textId="77777777" w:rsidR="00EB057F" w:rsidRPr="00E7497E" w:rsidRDefault="00EB057F" w:rsidP="00EB057F">
      <w:pPr>
        <w:spacing w:after="240" w:line="276" w:lineRule="auto"/>
        <w:rPr>
          <w:rFonts w:cs="Arial"/>
          <w:color w:val="0D161B"/>
          <w:lang w:val="en-GB"/>
        </w:rPr>
      </w:pPr>
      <w:r w:rsidRPr="00E7497E">
        <w:rPr>
          <w:rFonts w:cs="Arial"/>
          <w:color w:val="0D161B"/>
          <w:lang w:val="en-GB"/>
        </w:rPr>
        <w:t>14:15- 14:30 Summary, final questions and feedback questionnaires</w:t>
      </w:r>
    </w:p>
    <w:p w14:paraId="7E44DA7B" w14:textId="77777777" w:rsidR="00EB057F" w:rsidRPr="00E7497E" w:rsidRDefault="00EB057F" w:rsidP="00EB057F">
      <w:pPr>
        <w:spacing w:after="240" w:line="276" w:lineRule="auto"/>
        <w:rPr>
          <w:rFonts w:cs="Arial"/>
          <w:color w:val="0D161B"/>
          <w:lang w:val="en-GB"/>
        </w:rPr>
      </w:pPr>
    </w:p>
    <w:p w14:paraId="327E89CF" w14:textId="77777777" w:rsidR="00EB057F" w:rsidRPr="00E7497E" w:rsidRDefault="00EB057F" w:rsidP="00EB057F">
      <w:pPr>
        <w:spacing w:line="276" w:lineRule="auto"/>
        <w:rPr>
          <w:rFonts w:cs="Arial"/>
          <w:color w:val="0D161B"/>
          <w:lang w:val="en-GB"/>
        </w:rPr>
      </w:pPr>
      <w:r w:rsidRPr="00E7497E">
        <w:rPr>
          <w:rFonts w:cs="Arial"/>
          <w:b/>
          <w:bCs/>
          <w:color w:val="0D161B"/>
          <w:lang w:val="en-GB"/>
        </w:rPr>
        <w:t>Course suitability</w:t>
      </w:r>
    </w:p>
    <w:p w14:paraId="3B799E0B" w14:textId="1285053C" w:rsidR="00EB057F" w:rsidRDefault="00EB057F" w:rsidP="00EB057F">
      <w:pPr>
        <w:spacing w:line="276" w:lineRule="auto"/>
        <w:rPr>
          <w:rFonts w:cs="Arial"/>
          <w:color w:val="0D161B"/>
          <w:lang w:val="en-GB"/>
        </w:rPr>
      </w:pPr>
      <w:r w:rsidRPr="00E7497E">
        <w:rPr>
          <w:rFonts w:cs="Arial"/>
          <w:color w:val="0D161B"/>
          <w:lang w:val="en-GB"/>
        </w:rPr>
        <w:t xml:space="preserve">This course is suitable for clinicians involved in the assessment and management of musculoskeletal conditions in daily practice, particularly those managing persistent back pain and peripheral joint and tendon problems. It is also suitable for </w:t>
      </w:r>
      <w:proofErr w:type="gramStart"/>
      <w:r w:rsidRPr="00E7497E">
        <w:rPr>
          <w:rFonts w:cs="Arial"/>
          <w:color w:val="0D161B"/>
          <w:lang w:val="en-GB"/>
        </w:rPr>
        <w:t>University</w:t>
      </w:r>
      <w:proofErr w:type="gramEnd"/>
      <w:r w:rsidRPr="00E7497E">
        <w:rPr>
          <w:rFonts w:cs="Arial"/>
          <w:color w:val="0D161B"/>
          <w:lang w:val="en-GB"/>
        </w:rPr>
        <w:t xml:space="preserve"> and clinical educators involved in pre and post graduate professional education of musculoskeletal assessment and management.</w:t>
      </w:r>
    </w:p>
    <w:bookmarkEnd w:id="1"/>
    <w:p w14:paraId="43B0EFA7" w14:textId="77777777" w:rsidR="00EB057F" w:rsidRDefault="00EB057F" w:rsidP="00EB057F">
      <w:pPr>
        <w:spacing w:line="276" w:lineRule="auto"/>
        <w:rPr>
          <w:rFonts w:cs="Arial"/>
          <w:color w:val="0D161B"/>
          <w:lang w:val="en-GB"/>
        </w:rPr>
      </w:pPr>
    </w:p>
    <w:p w14:paraId="75E6A378" w14:textId="77777777" w:rsidR="00EB057F" w:rsidRPr="00E7497E" w:rsidRDefault="00EB057F" w:rsidP="00EB057F">
      <w:pPr>
        <w:spacing w:line="276" w:lineRule="auto"/>
        <w:rPr>
          <w:rFonts w:cs="Arial"/>
          <w:color w:val="0D161B"/>
          <w:lang w:val="en-GB"/>
        </w:rPr>
      </w:pPr>
      <w:r>
        <w:rPr>
          <w:rFonts w:cs="Arial"/>
          <w:color w:val="0D161B"/>
          <w:lang w:val="en-GB"/>
        </w:rPr>
        <w:t>Number of participants- 20-25 per venue (30 maximum)</w:t>
      </w:r>
    </w:p>
    <w:p w14:paraId="257C99F7" w14:textId="77777777" w:rsidR="007745F2" w:rsidRDefault="007745F2"/>
    <w:sectPr w:rsidR="00BA7C82">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B4BF4" w14:textId="77777777" w:rsidR="007745F2" w:rsidRDefault="007745F2" w:rsidP="00B34B27">
      <w:r>
        <w:separator/>
      </w:r>
    </w:p>
  </w:endnote>
  <w:endnote w:type="continuationSeparator" w:id="0">
    <w:p w14:paraId="311EA215" w14:textId="77777777" w:rsidR="007745F2" w:rsidRDefault="007745F2" w:rsidP="00B3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489651"/>
      <w:docPartObj>
        <w:docPartGallery w:val="Page Numbers (Bottom of Page)"/>
        <w:docPartUnique/>
      </w:docPartObj>
    </w:sdtPr>
    <w:sdtEndPr>
      <w:rPr>
        <w:noProof/>
      </w:rPr>
    </w:sdtEndPr>
    <w:sdtContent>
      <w:p w14:paraId="1B67273D" w14:textId="5E5177F0" w:rsidR="00B34B27" w:rsidRDefault="00B34B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74B780" w14:textId="77777777" w:rsidR="00B34B27" w:rsidRDefault="00B34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F7732" w14:textId="77777777" w:rsidR="007745F2" w:rsidRDefault="007745F2" w:rsidP="00B34B27">
      <w:r>
        <w:separator/>
      </w:r>
    </w:p>
  </w:footnote>
  <w:footnote w:type="continuationSeparator" w:id="0">
    <w:p w14:paraId="7B7841F3" w14:textId="77777777" w:rsidR="007745F2" w:rsidRDefault="007745F2" w:rsidP="00B34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6703C"/>
    <w:multiLevelType w:val="hybridMultilevel"/>
    <w:tmpl w:val="F9B89D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D0C0C8D"/>
    <w:multiLevelType w:val="multilevel"/>
    <w:tmpl w:val="5A9E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E7574"/>
    <w:multiLevelType w:val="multilevel"/>
    <w:tmpl w:val="446A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BD5BDD"/>
    <w:multiLevelType w:val="multilevel"/>
    <w:tmpl w:val="CA9EA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D271DC"/>
    <w:multiLevelType w:val="multilevel"/>
    <w:tmpl w:val="CC1E2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30007313">
    <w:abstractNumId w:val="4"/>
  </w:num>
  <w:num w:numId="2" w16cid:durableId="1643802218">
    <w:abstractNumId w:val="0"/>
  </w:num>
  <w:num w:numId="3" w16cid:durableId="552230720">
    <w:abstractNumId w:val="3"/>
  </w:num>
  <w:num w:numId="4" w16cid:durableId="1594127837">
    <w:abstractNumId w:val="1"/>
  </w:num>
  <w:num w:numId="5" w16cid:durableId="1614248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57F"/>
    <w:rsid w:val="000259AC"/>
    <w:rsid w:val="001952A0"/>
    <w:rsid w:val="002C29D3"/>
    <w:rsid w:val="002D35C2"/>
    <w:rsid w:val="00416612"/>
    <w:rsid w:val="004954D0"/>
    <w:rsid w:val="004A06F3"/>
    <w:rsid w:val="004C1109"/>
    <w:rsid w:val="004E1934"/>
    <w:rsid w:val="00515AAF"/>
    <w:rsid w:val="005D0CBE"/>
    <w:rsid w:val="00600397"/>
    <w:rsid w:val="006872EA"/>
    <w:rsid w:val="0069549F"/>
    <w:rsid w:val="0070664C"/>
    <w:rsid w:val="007745F2"/>
    <w:rsid w:val="00781665"/>
    <w:rsid w:val="00796DB0"/>
    <w:rsid w:val="008726CD"/>
    <w:rsid w:val="008B3C54"/>
    <w:rsid w:val="009A5F22"/>
    <w:rsid w:val="00B34B27"/>
    <w:rsid w:val="00C00F56"/>
    <w:rsid w:val="00C170BF"/>
    <w:rsid w:val="00DF07CE"/>
    <w:rsid w:val="00E22DA2"/>
    <w:rsid w:val="00E32C73"/>
    <w:rsid w:val="00EB057F"/>
    <w:rsid w:val="00F0152B"/>
    <w:rsid w:val="00F512D5"/>
    <w:rsid w:val="00FD6E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4F76"/>
  <w15:chartTrackingRefBased/>
  <w15:docId w15:val="{DFCD0397-A601-41E6-8411-C2D40D20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57F"/>
    <w:pPr>
      <w:spacing w:after="0" w:line="240" w:lineRule="auto"/>
    </w:pPr>
    <w:rPr>
      <w:rFonts w:ascii="Verdana" w:hAnsi="Verdana"/>
      <w:sz w:val="20"/>
      <w:szCs w:val="20"/>
      <w:lang w:val="en-US"/>
    </w:rPr>
  </w:style>
  <w:style w:type="paragraph" w:styleId="Heading3">
    <w:name w:val="heading 3"/>
    <w:basedOn w:val="Normal"/>
    <w:link w:val="Heading3Char"/>
    <w:uiPriority w:val="9"/>
    <w:qFormat/>
    <w:rsid w:val="002C29D3"/>
    <w:pPr>
      <w:spacing w:before="100" w:beforeAutospacing="1" w:after="100" w:afterAutospacing="1"/>
      <w:outlineLvl w:val="2"/>
    </w:pPr>
    <w:rPr>
      <w:rFonts w:ascii="Times New Roman" w:eastAsia="Times New Roman" w:hAnsi="Times New Roman" w:cs="Times New Roman"/>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057F"/>
    <w:pPr>
      <w:spacing w:before="100" w:beforeAutospacing="1" w:after="100" w:afterAutospacing="1"/>
    </w:pPr>
    <w:rPr>
      <w:rFonts w:ascii="Times New Roman" w:eastAsiaTheme="minorEastAsia" w:hAnsi="Times New Roman" w:cs="Times New Roman"/>
      <w:sz w:val="24"/>
      <w:szCs w:val="24"/>
    </w:rPr>
  </w:style>
  <w:style w:type="table" w:styleId="TableGrid">
    <w:name w:val="Table Grid"/>
    <w:basedOn w:val="TableNormal"/>
    <w:uiPriority w:val="39"/>
    <w:rsid w:val="00F01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52A0"/>
    <w:pPr>
      <w:ind w:left="720"/>
      <w:contextualSpacing/>
    </w:pPr>
  </w:style>
  <w:style w:type="paragraph" w:styleId="Header">
    <w:name w:val="header"/>
    <w:basedOn w:val="Normal"/>
    <w:link w:val="HeaderChar"/>
    <w:uiPriority w:val="99"/>
    <w:unhideWhenUsed/>
    <w:rsid w:val="00B34B27"/>
    <w:pPr>
      <w:tabs>
        <w:tab w:val="center" w:pos="4513"/>
        <w:tab w:val="right" w:pos="9026"/>
      </w:tabs>
    </w:pPr>
  </w:style>
  <w:style w:type="character" w:customStyle="1" w:styleId="HeaderChar">
    <w:name w:val="Header Char"/>
    <w:basedOn w:val="DefaultParagraphFont"/>
    <w:link w:val="Header"/>
    <w:uiPriority w:val="99"/>
    <w:rsid w:val="00B34B27"/>
    <w:rPr>
      <w:rFonts w:ascii="Verdana" w:hAnsi="Verdana"/>
      <w:sz w:val="20"/>
      <w:szCs w:val="20"/>
      <w:lang w:val="en-US"/>
    </w:rPr>
  </w:style>
  <w:style w:type="paragraph" w:styleId="Footer">
    <w:name w:val="footer"/>
    <w:basedOn w:val="Normal"/>
    <w:link w:val="FooterChar"/>
    <w:uiPriority w:val="99"/>
    <w:unhideWhenUsed/>
    <w:rsid w:val="00B34B27"/>
    <w:pPr>
      <w:tabs>
        <w:tab w:val="center" w:pos="4513"/>
        <w:tab w:val="right" w:pos="9026"/>
      </w:tabs>
    </w:pPr>
  </w:style>
  <w:style w:type="character" w:customStyle="1" w:styleId="FooterChar">
    <w:name w:val="Footer Char"/>
    <w:basedOn w:val="DefaultParagraphFont"/>
    <w:link w:val="Footer"/>
    <w:uiPriority w:val="99"/>
    <w:rsid w:val="00B34B27"/>
    <w:rPr>
      <w:rFonts w:ascii="Verdana" w:hAnsi="Verdana"/>
      <w:sz w:val="20"/>
      <w:szCs w:val="20"/>
      <w:lang w:val="en-US"/>
    </w:rPr>
  </w:style>
  <w:style w:type="character" w:customStyle="1" w:styleId="Heading3Char">
    <w:name w:val="Heading 3 Char"/>
    <w:basedOn w:val="DefaultParagraphFont"/>
    <w:link w:val="Heading3"/>
    <w:uiPriority w:val="9"/>
    <w:rsid w:val="002C29D3"/>
    <w:rPr>
      <w:rFonts w:ascii="Times New Roman" w:eastAsia="Times New Roman" w:hAnsi="Times New Roman" w:cs="Times New Roman"/>
      <w:b/>
      <w:bCs/>
      <w:sz w:val="27"/>
      <w:szCs w:val="27"/>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35115">
      <w:bodyDiv w:val="1"/>
      <w:marLeft w:val="0"/>
      <w:marRight w:val="0"/>
      <w:marTop w:val="0"/>
      <w:marBottom w:val="0"/>
      <w:divBdr>
        <w:top w:val="none" w:sz="0" w:space="0" w:color="auto"/>
        <w:left w:val="none" w:sz="0" w:space="0" w:color="auto"/>
        <w:bottom w:val="none" w:sz="0" w:space="0" w:color="auto"/>
        <w:right w:val="none" w:sz="0" w:space="0" w:color="auto"/>
      </w:divBdr>
    </w:div>
    <w:div w:id="1382097698">
      <w:bodyDiv w:val="1"/>
      <w:marLeft w:val="0"/>
      <w:marRight w:val="0"/>
      <w:marTop w:val="0"/>
      <w:marBottom w:val="0"/>
      <w:divBdr>
        <w:top w:val="none" w:sz="0" w:space="0" w:color="auto"/>
        <w:left w:val="none" w:sz="0" w:space="0" w:color="auto"/>
        <w:bottom w:val="none" w:sz="0" w:space="0" w:color="auto"/>
        <w:right w:val="none" w:sz="0" w:space="0" w:color="auto"/>
      </w:divBdr>
    </w:div>
    <w:div w:id="1819691925">
      <w:bodyDiv w:val="1"/>
      <w:marLeft w:val="0"/>
      <w:marRight w:val="0"/>
      <w:marTop w:val="0"/>
      <w:marBottom w:val="0"/>
      <w:divBdr>
        <w:top w:val="none" w:sz="0" w:space="0" w:color="auto"/>
        <w:left w:val="none" w:sz="0" w:space="0" w:color="auto"/>
        <w:bottom w:val="none" w:sz="0" w:space="0" w:color="auto"/>
        <w:right w:val="none" w:sz="0" w:space="0" w:color="auto"/>
      </w:divBdr>
    </w:div>
    <w:div w:id="199343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www.macpweb.org/write/MediaUploads/CIGs/Rheumatology/Rheumatology_Physiotherapy_Capabilities_Framework_vFINAL_Interactive.pdf" TargetMode="External"/><Relationship Id="rId2" Type="http://schemas.openxmlformats.org/officeDocument/2006/relationships/styles" Target="styles.xml"/><Relationship Id="rId16" Type="http://schemas.openxmlformats.org/officeDocument/2006/relationships/hyperlink" Target="https://doi.org/10.1016/j.msksp.2019.10207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doi.org/10.1002/msc.1537"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2297</Words>
  <Characters>13094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McCrum, Carol (Health)</dc:creator>
  <cp:keywords/>
  <dc:description/>
  <cp:lastModifiedBy>McCrum, Carol</cp:lastModifiedBy>
  <cp:revision>2</cp:revision>
  <dcterms:created xsi:type="dcterms:W3CDTF">2025-10-30T04:24:00Z</dcterms:created>
  <dcterms:modified xsi:type="dcterms:W3CDTF">2025-10-30T04:24:00Z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2025-10-30T04:24:24Z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cc58052c-c4c3-4cb2-aa94-760d277520de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